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
          <w:bCs/>
          <w:sz w:val="36"/>
          <w:szCs w:val="36"/>
        </w:rPr>
      </w:pPr>
      <w:r>
        <w:rPr>
          <w:b/>
          <w:bCs/>
          <w:sz w:val="36"/>
          <w:szCs w:val="36"/>
        </w:rPr>
      </w:r>
    </w:p>
    <w:p>
      <w:pPr>
        <w:pStyle w:val="Normal"/>
        <w:bidi w:val="0"/>
        <w:jc w:val="center"/>
        <w:rPr>
          <w:b/>
          <w:b/>
          <w:bCs/>
          <w:sz w:val="36"/>
          <w:szCs w:val="36"/>
        </w:rPr>
      </w:pPr>
      <w:r>
        <w:rPr>
          <w:b/>
          <w:bCs/>
          <w:sz w:val="36"/>
          <w:szCs w:val="36"/>
        </w:rPr>
      </w:r>
    </w:p>
    <w:p>
      <w:pPr>
        <w:pStyle w:val="Normal"/>
        <w:bidi w:val="0"/>
        <w:jc w:val="center"/>
        <w:rPr>
          <w:b/>
          <w:b/>
          <w:bCs/>
          <w:sz w:val="36"/>
          <w:szCs w:val="36"/>
        </w:rPr>
      </w:pPr>
      <w:bookmarkStart w:id="0" w:name="__RefHeading___Toc105_3153881623"/>
      <w:bookmarkEnd w:id="0"/>
      <w:r>
        <w:rPr>
          <w:b/>
          <w:bCs/>
          <w:sz w:val="36"/>
          <w:szCs w:val="36"/>
        </w:rPr>
        <w:t>FRAMEWORK AGREEMENT FOR ELECTRONIC COMPONENTS</w:t>
      </w:r>
    </w:p>
    <w:p>
      <w:pPr>
        <w:pStyle w:val="Textkrper"/>
        <w:bidi w:val="0"/>
        <w:jc w:val="center"/>
        <w:rPr/>
      </w:pPr>
      <w:r>
        <w:rPr>
          <w:rStyle w:val="Strong"/>
          <w:sz w:val="36"/>
          <w:szCs w:val="36"/>
        </w:rPr>
        <w:t>Agreement Number:</w:t>
      </w:r>
      <w:r>
        <w:rPr>
          <w:sz w:val="36"/>
          <w:szCs w:val="36"/>
        </w:rPr>
        <w:t xml:space="preserve"> FA[NUMBER]</w:t>
        <w:br/>
      </w:r>
      <w:r>
        <w:rPr>
          <w:rStyle w:val="Strong"/>
          <w:sz w:val="36"/>
          <w:szCs w:val="36"/>
        </w:rPr>
        <w:t>Effective Date:</w:t>
      </w:r>
      <w:r>
        <w:rPr>
          <w:sz w:val="36"/>
          <w:szCs w:val="36"/>
        </w:rPr>
        <w:t xml:space="preserve"> [DATE] </w:t>
        <w:br/>
      </w:r>
      <w:r>
        <w:rPr>
          <w:rStyle w:val="Strong"/>
          <w:sz w:val="36"/>
          <w:szCs w:val="36"/>
        </w:rPr>
        <w:t>Region:</w:t>
      </w:r>
      <w:r>
        <w:rPr>
          <w:sz w:val="36"/>
          <w:szCs w:val="36"/>
        </w:rPr>
        <w:t xml:space="preserve"> [EU / US / OTHER]</w:t>
      </w:r>
    </w:p>
    <w:p>
      <w:pPr>
        <w:pStyle w:val="Textkrper"/>
        <w:bidi w:val="0"/>
        <w:jc w:val="center"/>
        <w:rPr/>
      </w:pPr>
      <w:r>
        <w:rPr/>
      </w:r>
    </w:p>
    <w:p>
      <w:pPr>
        <w:pStyle w:val="Normal"/>
        <w:bidi w:val="0"/>
        <w:jc w:val="left"/>
        <w:rPr>
          <w:b/>
          <w:b/>
          <w:bCs/>
          <w:sz w:val="32"/>
          <w:szCs w:val="32"/>
        </w:rPr>
      </w:pPr>
      <w:bookmarkStart w:id="1" w:name="__RefHeading___Toc107_3153881623"/>
      <w:bookmarkEnd w:id="1"/>
      <w:r>
        <w:rPr>
          <w:b/>
          <w:bCs/>
          <w:sz w:val="32"/>
          <w:szCs w:val="32"/>
        </w:rPr>
        <w:t>PARTIES</w:t>
      </w:r>
    </w:p>
    <w:p>
      <w:pPr>
        <w:pStyle w:val="Textkrper"/>
        <w:bidi w:val="0"/>
        <w:jc w:val="left"/>
        <w:rPr>
          <w:rStyle w:val="Strong"/>
        </w:rPr>
      </w:pPr>
      <w:r>
        <w:rPr/>
      </w:r>
    </w:p>
    <w:p>
      <w:pPr>
        <w:pStyle w:val="Textkrper"/>
        <w:bidi w:val="0"/>
        <w:jc w:val="left"/>
        <w:rPr/>
      </w:pPr>
      <w:r>
        <w:rPr>
          <w:rStyle w:val="Strong"/>
        </w:rPr>
        <w:t>Supplier:</w:t>
      </w:r>
      <w:r>
        <w:rPr/>
        <w:br/>
        <w:t xml:space="preserve">Dynamixs Demo Company </w:t>
        <w:br/>
        <w:t>Lindenstr. 1, 8000 Munic - Germay</w:t>
        <w:br/>
        <w:t>DE000001550001</w:t>
        <w:br/>
        <w:t>Hereinafter referred to as "Supplier"</w:t>
      </w:r>
    </w:p>
    <w:p>
      <w:pPr>
        <w:pStyle w:val="Textkrper"/>
        <w:bidi w:val="0"/>
        <w:jc w:val="left"/>
        <w:rPr/>
      </w:pPr>
      <w:r>
        <w:rPr>
          <w:rStyle w:val="Strong"/>
        </w:rPr>
        <w:t>Customer:</w:t>
      </w:r>
      <w:r>
        <w:rPr/>
        <w:br/>
        <w:t>[Customer Company Name]</w:t>
        <w:br/>
        <w:t>[Address]</w:t>
        <w:br/>
        <w:t>[Registration Number]</w:t>
        <w:br/>
        <w:t>Hereinafter referred to as "Customer"</w:t>
      </w:r>
    </w:p>
    <w:p>
      <w:pPr>
        <w:pStyle w:val="Textkrper"/>
        <w:bidi w:val="0"/>
        <w:spacing w:lineRule="auto" w:line="276" w:before="0" w:after="140"/>
        <w:jc w:val="left"/>
        <w:rPr/>
      </w:pPr>
      <w:r>
        <w:rPr/>
      </w:r>
    </w:p>
    <w:sdt>
      <w:sdtPr>
        <w:docPartObj>
          <w:docPartGallery w:val="Table of Contents"/>
          <w:docPartUnique w:val="true"/>
        </w:docPartObj>
      </w:sdtPr>
      <w:sdtContent>
        <w:p>
          <w:pPr>
            <w:pStyle w:val="Inhaltsverzeichnisberschrift"/>
            <w:bidi w:val="0"/>
            <w:jc w:val="left"/>
            <w:rPr/>
          </w:pPr>
          <w:r>
            <w:rPr/>
            <w:t>Content</w:t>
          </w:r>
        </w:p>
        <w:p>
          <w:pPr>
            <w:pStyle w:val="Inhaltsverzeichnis1"/>
            <w:bidi w:val="0"/>
            <w:jc w:val="left"/>
            <w:rPr/>
          </w:pPr>
          <w:r>
            <w:fldChar w:fldCharType="begin"/>
          </w:r>
          <w:r>
            <w:rPr>
              <w:rStyle w:val="Verzeichnissprung"/>
            </w:rPr>
            <w:instrText xml:space="preserve"> TOC \f \o "1-9" \h</w:instrText>
          </w:r>
          <w:r>
            <w:rPr>
              <w:rStyle w:val="Verzeichnissprung"/>
            </w:rPr>
            <w:fldChar w:fldCharType="separate"/>
          </w:r>
          <w:hyperlink w:anchor="__RefHeading___Toc105_3153881623">
            <w:r>
              <w:rPr>
                <w:rStyle w:val="Verzeichnissprung"/>
              </w:rPr>
              <w:t>FRAMEWORK AGREEMENT FOR ELECTRONIC COMPONENTS</w:t>
              <w:tab/>
              <w:t>1</w:t>
            </w:r>
          </w:hyperlink>
        </w:p>
        <w:p>
          <w:pPr>
            <w:pStyle w:val="Inhaltsverzeichnis2"/>
            <w:bidi w:val="0"/>
            <w:jc w:val="left"/>
            <w:rPr/>
          </w:pPr>
          <w:hyperlink w:anchor="__RefHeading___Toc109_3153881623">
            <w:r>
              <w:rPr>
                <w:rStyle w:val="Verzeichnissprung"/>
              </w:rPr>
              <w:t>2. SCOPE OF AGREEMENT</w:t>
              <w:tab/>
              <w:t>2</w:t>
            </w:r>
          </w:hyperlink>
        </w:p>
        <w:p>
          <w:pPr>
            <w:pStyle w:val="Inhaltsverzeichnis3"/>
            <w:bidi w:val="0"/>
            <w:jc w:val="left"/>
            <w:rPr/>
          </w:pPr>
          <w:hyperlink w:anchor="__RefHeading___Toc111_3153881623">
            <w:r>
              <w:rPr>
                <w:rStyle w:val="Verzeichnissprung"/>
              </w:rPr>
              <w:t>2.1 Product Categories</w:t>
              <w:tab/>
              <w:t>2</w:t>
            </w:r>
          </w:hyperlink>
        </w:p>
        <w:p>
          <w:pPr>
            <w:pStyle w:val="Inhaltsverzeichnis2"/>
            <w:bidi w:val="0"/>
            <w:jc w:val="left"/>
            <w:rPr/>
          </w:pPr>
          <w:hyperlink w:anchor="__RefHeading___Toc113_3153881623">
            <w:r>
              <w:rPr>
                <w:rStyle w:val="Verzeichnissprung"/>
              </w:rPr>
              <w:t>3. TERM AND TERMINATION</w:t>
              <w:tab/>
              <w:t>2</w:t>
            </w:r>
          </w:hyperlink>
        </w:p>
        <w:p>
          <w:pPr>
            <w:pStyle w:val="Inhaltsverzeichnis3"/>
            <w:bidi w:val="0"/>
            <w:jc w:val="left"/>
            <w:rPr/>
          </w:pPr>
          <w:hyperlink w:anchor="__RefHeading___Toc115_3153881623">
            <w:r>
              <w:rPr>
                <w:rStyle w:val="Verzeichnissprung"/>
              </w:rPr>
              <w:t>3.1 Contract Duration</w:t>
              <w:tab/>
              <w:t>2</w:t>
            </w:r>
          </w:hyperlink>
        </w:p>
        <w:p>
          <w:pPr>
            <w:pStyle w:val="Inhaltsverzeichnis3"/>
            <w:bidi w:val="0"/>
            <w:jc w:val="left"/>
            <w:rPr/>
          </w:pPr>
          <w:hyperlink w:anchor="__RefHeading___Toc117_3153881623">
            <w:r>
              <w:rPr>
                <w:rStyle w:val="Verzeichnissprung"/>
              </w:rPr>
              <w:t>3.2 Termination</w:t>
              <w:tab/>
              <w:t>3</w:t>
            </w:r>
          </w:hyperlink>
        </w:p>
        <w:p>
          <w:pPr>
            <w:pStyle w:val="Inhaltsverzeichnis2"/>
            <w:bidi w:val="0"/>
            <w:jc w:val="left"/>
            <w:rPr/>
          </w:pPr>
          <w:hyperlink w:anchor="__RefHeading___Toc119_3153881623">
            <w:r>
              <w:rPr>
                <w:rStyle w:val="Verzeichnissprung"/>
              </w:rPr>
              <w:t>4. PRICING AND DISCOUNT STRUCTURE</w:t>
              <w:tab/>
              <w:t>3</w:t>
            </w:r>
          </w:hyperlink>
        </w:p>
        <w:p>
          <w:pPr>
            <w:pStyle w:val="Inhaltsverzeichnis3"/>
            <w:bidi w:val="0"/>
            <w:jc w:val="left"/>
            <w:rPr/>
          </w:pPr>
          <w:hyperlink w:anchor="__RefHeading___Toc121_3153881623">
            <w:r>
              <w:rPr>
                <w:rStyle w:val="Verzeichnissprung"/>
              </w:rPr>
              <w:t>4.1 Base Pricing</w:t>
              <w:tab/>
              <w:t>3</w:t>
            </w:r>
          </w:hyperlink>
        </w:p>
        <w:p>
          <w:pPr>
            <w:pStyle w:val="Inhaltsverzeichnis3"/>
            <w:bidi w:val="0"/>
            <w:jc w:val="left"/>
            <w:rPr/>
          </w:pPr>
          <w:hyperlink w:anchor="__RefHeading___Toc123_3153881623">
            <w:r>
              <w:rPr>
                <w:rStyle w:val="Verzeichnissprung"/>
              </w:rPr>
              <w:t>4.2 Volume-Based Discounts (EU Region)</w:t>
              <w:tab/>
              <w:t>3</w:t>
            </w:r>
          </w:hyperlink>
        </w:p>
        <w:p>
          <w:pPr>
            <w:pStyle w:val="Inhaltsverzeichnis3"/>
            <w:bidi w:val="0"/>
            <w:jc w:val="left"/>
            <w:rPr/>
          </w:pPr>
          <w:hyperlink w:anchor="__RefHeading___Toc125_3153881623">
            <w:r>
              <w:rPr>
                <w:rStyle w:val="Verzeichnissprung"/>
              </w:rPr>
              <w:t>4.3 Volume-Based Discounts (US Region)</w:t>
              <w:tab/>
              <w:t>3</w:t>
            </w:r>
          </w:hyperlink>
        </w:p>
        <w:p>
          <w:pPr>
            <w:pStyle w:val="Inhaltsverzeichnis3"/>
            <w:bidi w:val="0"/>
            <w:jc w:val="left"/>
            <w:rPr/>
          </w:pPr>
          <w:hyperlink w:anchor="__RefHeading___Toc127_3153881623">
            <w:r>
              <w:rPr>
                <w:rStyle w:val="Verzeichnissprung"/>
              </w:rPr>
              <w:t>4.4 Special Discounts</w:t>
              <w:tab/>
              <w:t>3</w:t>
            </w:r>
          </w:hyperlink>
        </w:p>
        <w:p>
          <w:pPr>
            <w:pStyle w:val="Inhaltsverzeichnis2"/>
            <w:bidi w:val="0"/>
            <w:jc w:val="left"/>
            <w:rPr/>
          </w:pPr>
          <w:hyperlink w:anchor="__RefHeading___Toc129_3153881623">
            <w:r>
              <w:rPr>
                <w:rStyle w:val="Verzeichnissprung"/>
              </w:rPr>
              <w:t>5. ORDERING PROCESS</w:t>
              <w:tab/>
              <w:t>4</w:t>
            </w:r>
          </w:hyperlink>
        </w:p>
        <w:p>
          <w:pPr>
            <w:pStyle w:val="Inhaltsverzeichnis3"/>
            <w:bidi w:val="0"/>
            <w:jc w:val="left"/>
            <w:rPr/>
          </w:pPr>
          <w:hyperlink w:anchor="__RefHeading___Toc131_3153881623">
            <w:r>
              <w:rPr>
                <w:rStyle w:val="Verzeichnissprung"/>
              </w:rPr>
              <w:t>5.1 Purchase Orders</w:t>
              <w:tab/>
              <w:t>4</w:t>
            </w:r>
          </w:hyperlink>
        </w:p>
        <w:p>
          <w:pPr>
            <w:pStyle w:val="Inhaltsverzeichnis3"/>
            <w:bidi w:val="0"/>
            <w:jc w:val="left"/>
            <w:rPr/>
          </w:pPr>
          <w:hyperlink w:anchor="__RefHeading___Toc133_3153881623">
            <w:r>
              <w:rPr>
                <w:rStyle w:val="Verzeichnissprung"/>
              </w:rPr>
              <w:t>5.2 Order Confirmation</w:t>
              <w:tab/>
              <w:t>4</w:t>
            </w:r>
          </w:hyperlink>
        </w:p>
        <w:p>
          <w:pPr>
            <w:pStyle w:val="Inhaltsverzeichnis3"/>
            <w:bidi w:val="0"/>
            <w:jc w:val="left"/>
            <w:rPr/>
          </w:pPr>
          <w:hyperlink w:anchor="__RefHeading___Toc135_3153881623">
            <w:r>
              <w:rPr>
                <w:rStyle w:val="Verzeichnissprung"/>
              </w:rPr>
              <w:t>5.3 Minimum Order Quantities (MOQ)</w:t>
              <w:tab/>
              <w:t>4</w:t>
            </w:r>
          </w:hyperlink>
        </w:p>
        <w:p>
          <w:pPr>
            <w:pStyle w:val="Inhaltsverzeichnis2"/>
            <w:bidi w:val="0"/>
            <w:jc w:val="left"/>
            <w:rPr/>
          </w:pPr>
          <w:hyperlink w:anchor="__RefHeading___Toc137_3153881623">
            <w:r>
              <w:rPr>
                <w:rStyle w:val="Verzeichnissprung"/>
              </w:rPr>
              <w:t>6. DELIVERY TERMS</w:t>
              <w:tab/>
              <w:t>4</w:t>
            </w:r>
          </w:hyperlink>
        </w:p>
        <w:p>
          <w:pPr>
            <w:pStyle w:val="Inhaltsverzeichnis3"/>
            <w:bidi w:val="0"/>
            <w:jc w:val="left"/>
            <w:rPr/>
          </w:pPr>
          <w:hyperlink w:anchor="__RefHeading___Toc139_3153881623">
            <w:r>
              <w:rPr>
                <w:rStyle w:val="Verzeichnissprung"/>
              </w:rPr>
              <w:t>6.1 Incoterms</w:t>
              <w:tab/>
              <w:t>4</w:t>
            </w:r>
          </w:hyperlink>
        </w:p>
        <w:p>
          <w:pPr>
            <w:pStyle w:val="Inhaltsverzeichnis3"/>
            <w:bidi w:val="0"/>
            <w:jc w:val="left"/>
            <w:rPr/>
          </w:pPr>
          <w:hyperlink w:anchor="__RefHeading___Toc141_3153881623">
            <w:r>
              <w:rPr>
                <w:rStyle w:val="Verzeichnissprung"/>
              </w:rPr>
              <w:t>6.2 Lead Times</w:t>
              <w:tab/>
              <w:t>4</w:t>
            </w:r>
          </w:hyperlink>
        </w:p>
        <w:p>
          <w:pPr>
            <w:pStyle w:val="Inhaltsverzeichnis3"/>
            <w:bidi w:val="0"/>
            <w:jc w:val="left"/>
            <w:rPr/>
          </w:pPr>
          <w:hyperlink w:anchor="__RefHeading___Toc143_3153881623">
            <w:r>
              <w:rPr>
                <w:rStyle w:val="Verzeichnissprung"/>
              </w:rPr>
              <w:t>6.3 Shipping Methods</w:t>
              <w:tab/>
              <w:t>4</w:t>
            </w:r>
          </w:hyperlink>
        </w:p>
        <w:p>
          <w:pPr>
            <w:pStyle w:val="Inhaltsverzeichnis2"/>
            <w:bidi w:val="0"/>
            <w:jc w:val="left"/>
            <w:rPr/>
          </w:pPr>
          <w:hyperlink w:anchor="__RefHeading___Toc145_3153881623">
            <w:r>
              <w:rPr>
                <w:rStyle w:val="Verzeichnissprung"/>
              </w:rPr>
              <w:t>7. QUALITY ASSURANCE</w:t>
              <w:tab/>
              <w:t>4</w:t>
            </w:r>
          </w:hyperlink>
        </w:p>
        <w:p>
          <w:pPr>
            <w:pStyle w:val="Inhaltsverzeichnis3"/>
            <w:bidi w:val="0"/>
            <w:jc w:val="left"/>
            <w:rPr/>
          </w:pPr>
          <w:hyperlink w:anchor="__RefHeading___Toc147_3153881623">
            <w:r>
              <w:rPr>
                <w:rStyle w:val="Verzeichnissprung"/>
              </w:rPr>
              <w:t>7.1 Quality Standards</w:t>
              <w:tab/>
              <w:t>4</w:t>
            </w:r>
          </w:hyperlink>
        </w:p>
        <w:p>
          <w:pPr>
            <w:pStyle w:val="Inhaltsverzeichnis3"/>
            <w:bidi w:val="0"/>
            <w:jc w:val="left"/>
            <w:rPr/>
          </w:pPr>
          <w:hyperlink w:anchor="__RefHeading___Toc149_3153881623">
            <w:r>
              <w:rPr>
                <w:rStyle w:val="Verzeichnissprung"/>
              </w:rPr>
              <w:t>7.2 Warranty</w:t>
              <w:tab/>
              <w:t>5</w:t>
            </w:r>
          </w:hyperlink>
        </w:p>
        <w:p>
          <w:pPr>
            <w:pStyle w:val="Inhaltsverzeichnis2"/>
            <w:bidi w:val="0"/>
            <w:jc w:val="left"/>
            <w:rPr/>
          </w:pPr>
          <w:hyperlink w:anchor="__RefHeading___Toc151_3153881623">
            <w:r>
              <w:rPr>
                <w:rStyle w:val="Verzeichnissprung"/>
              </w:rPr>
              <w:t>8. PAYMENT TERMS</w:t>
              <w:tab/>
              <w:t>5</w:t>
            </w:r>
          </w:hyperlink>
        </w:p>
        <w:p>
          <w:pPr>
            <w:pStyle w:val="Inhaltsverzeichnis3"/>
            <w:bidi w:val="0"/>
            <w:jc w:val="left"/>
            <w:rPr/>
          </w:pPr>
          <w:hyperlink w:anchor="__RefHeading___Toc153_3153881623">
            <w:r>
              <w:rPr>
                <w:rStyle w:val="Verzeichnissprung"/>
              </w:rPr>
              <w:t>8.1 Currency</w:t>
              <w:tab/>
              <w:t>5</w:t>
            </w:r>
          </w:hyperlink>
        </w:p>
        <w:p>
          <w:pPr>
            <w:pStyle w:val="Inhaltsverzeichnis3"/>
            <w:bidi w:val="0"/>
            <w:jc w:val="left"/>
            <w:rPr/>
          </w:pPr>
          <w:hyperlink w:anchor="__RefHeading___Toc155_3153881623">
            <w:r>
              <w:rPr>
                <w:rStyle w:val="Verzeichnissprung"/>
              </w:rPr>
              <w:t>8.2 Payment Method</w:t>
              <w:tab/>
              <w:t>5</w:t>
            </w:r>
          </w:hyperlink>
        </w:p>
        <w:p>
          <w:pPr>
            <w:pStyle w:val="Inhaltsverzeichnis3"/>
            <w:bidi w:val="0"/>
            <w:jc w:val="left"/>
            <w:rPr/>
          </w:pPr>
          <w:hyperlink w:anchor="__RefHeading___Toc157_3153881623">
            <w:r>
              <w:rPr>
                <w:rStyle w:val="Verzeichnissprung"/>
              </w:rPr>
              <w:t>8.3 Credit Limit</w:t>
              <w:tab/>
              <w:t>5</w:t>
            </w:r>
          </w:hyperlink>
        </w:p>
        <w:p>
          <w:pPr>
            <w:pStyle w:val="Inhaltsverzeichnis2"/>
            <w:bidi w:val="0"/>
            <w:jc w:val="left"/>
            <w:rPr/>
          </w:pPr>
          <w:hyperlink w:anchor="__RefHeading___Toc159_3153881623">
            <w:r>
              <w:rPr>
                <w:rStyle w:val="Verzeichnissprung"/>
              </w:rPr>
              <w:t>9. INTELLECTUAL PROPERTY</w:t>
              <w:tab/>
              <w:t>5</w:t>
            </w:r>
          </w:hyperlink>
        </w:p>
        <w:p>
          <w:pPr>
            <w:pStyle w:val="Inhaltsverzeichnis2"/>
            <w:bidi w:val="0"/>
            <w:jc w:val="left"/>
            <w:rPr/>
          </w:pPr>
          <w:hyperlink w:anchor="__RefHeading___Toc161_3153881623">
            <w:r>
              <w:rPr>
                <w:rStyle w:val="Verzeichnissprung"/>
              </w:rPr>
              <w:t>10. CONFIDENTIALITY</w:t>
              <w:tab/>
              <w:t>5</w:t>
            </w:r>
          </w:hyperlink>
        </w:p>
        <w:p>
          <w:pPr>
            <w:pStyle w:val="Inhaltsverzeichnis2"/>
            <w:bidi w:val="0"/>
            <w:jc w:val="left"/>
            <w:rPr/>
          </w:pPr>
          <w:hyperlink w:anchor="__RefHeading___Toc163_3153881623">
            <w:r>
              <w:rPr>
                <w:rStyle w:val="Verzeichnissprung"/>
              </w:rPr>
              <w:t>11. COMPLIANCE</w:t>
              <w:tab/>
              <w:t>5</w:t>
            </w:r>
          </w:hyperlink>
        </w:p>
        <w:p>
          <w:pPr>
            <w:pStyle w:val="Inhaltsverzeichnis3"/>
            <w:bidi w:val="0"/>
            <w:jc w:val="left"/>
            <w:rPr/>
          </w:pPr>
          <w:hyperlink w:anchor="__RefHeading___Toc165_3153881623">
            <w:r>
              <w:rPr>
                <w:rStyle w:val="Verzeichnissprung"/>
              </w:rPr>
              <w:t>11.1 Export Controls</w:t>
              <w:tab/>
              <w:t>5</w:t>
            </w:r>
          </w:hyperlink>
        </w:p>
        <w:p>
          <w:pPr>
            <w:pStyle w:val="Inhaltsverzeichnis3"/>
            <w:bidi w:val="0"/>
            <w:jc w:val="left"/>
            <w:rPr/>
          </w:pPr>
          <w:hyperlink w:anchor="__RefHeading___Toc167_3153881623">
            <w:r>
              <w:rPr>
                <w:rStyle w:val="Verzeichnissprung"/>
              </w:rPr>
              <w:t>11.2 Anti-Corruption</w:t>
              <w:tab/>
              <w:t>5</w:t>
            </w:r>
          </w:hyperlink>
        </w:p>
        <w:p>
          <w:pPr>
            <w:pStyle w:val="Inhaltsverzeichnis3"/>
            <w:bidi w:val="0"/>
            <w:jc w:val="left"/>
            <w:rPr/>
          </w:pPr>
          <w:hyperlink w:anchor="__RefHeading___Toc169_3153881623">
            <w:r>
              <w:rPr>
                <w:rStyle w:val="Verzeichnissprung"/>
              </w:rPr>
              <w:t>11.3 Data Protection</w:t>
              <w:tab/>
              <w:t>5</w:t>
            </w:r>
          </w:hyperlink>
        </w:p>
        <w:p>
          <w:pPr>
            <w:pStyle w:val="Inhaltsverzeichnis2"/>
            <w:bidi w:val="0"/>
            <w:jc w:val="left"/>
            <w:rPr/>
          </w:pPr>
          <w:hyperlink w:anchor="__RefHeading___Toc171_3153881623">
            <w:r>
              <w:rPr>
                <w:rStyle w:val="Verzeichnissprung"/>
              </w:rPr>
              <w:t>12. LIABILITY AND INDEMNIFICATION</w:t>
              <w:tab/>
              <w:t>6</w:t>
            </w:r>
          </w:hyperlink>
        </w:p>
        <w:p>
          <w:pPr>
            <w:pStyle w:val="Inhaltsverzeichnis3"/>
            <w:bidi w:val="0"/>
            <w:jc w:val="left"/>
            <w:rPr/>
          </w:pPr>
          <w:hyperlink w:anchor="__RefHeading___Toc173_3153881623">
            <w:r>
              <w:rPr>
                <w:rStyle w:val="Verzeichnissprung"/>
              </w:rPr>
              <w:t>12.1 Limitation of Liability</w:t>
              <w:tab/>
              <w:t>6</w:t>
            </w:r>
          </w:hyperlink>
        </w:p>
        <w:p>
          <w:pPr>
            <w:pStyle w:val="Inhaltsverzeichnis3"/>
            <w:bidi w:val="0"/>
            <w:jc w:val="left"/>
            <w:rPr/>
          </w:pPr>
          <w:hyperlink w:anchor="__RefHeading___Toc175_3153881623">
            <w:r>
              <w:rPr>
                <w:rStyle w:val="Verzeichnissprung"/>
              </w:rPr>
              <w:t>12.2 Product Liability</w:t>
              <w:tab/>
              <w:t>6</w:t>
            </w:r>
          </w:hyperlink>
        </w:p>
        <w:p>
          <w:pPr>
            <w:pStyle w:val="Inhaltsverzeichnis2"/>
            <w:bidi w:val="0"/>
            <w:jc w:val="left"/>
            <w:rPr/>
          </w:pPr>
          <w:hyperlink w:anchor="__RefHeading___Toc177_3153881623">
            <w:r>
              <w:rPr>
                <w:rStyle w:val="Verzeichnissprung"/>
              </w:rPr>
              <w:t>13. FORCE MAJEURE</w:t>
              <w:tab/>
              <w:t>6</w:t>
            </w:r>
          </w:hyperlink>
        </w:p>
        <w:p>
          <w:pPr>
            <w:pStyle w:val="Inhaltsverzeichnis2"/>
            <w:bidi w:val="0"/>
            <w:jc w:val="left"/>
            <w:rPr/>
          </w:pPr>
          <w:hyperlink w:anchor="__RefHeading___Toc179_3153881623">
            <w:r>
              <w:rPr>
                <w:rStyle w:val="Verzeichnissprung"/>
              </w:rPr>
              <w:t>14. DISPUTE RESOLUTION</w:t>
              <w:tab/>
              <w:t>6</w:t>
            </w:r>
          </w:hyperlink>
        </w:p>
        <w:p>
          <w:pPr>
            <w:pStyle w:val="Inhaltsverzeichnis3"/>
            <w:bidi w:val="0"/>
            <w:jc w:val="left"/>
            <w:rPr/>
          </w:pPr>
          <w:hyperlink w:anchor="__RefHeading___Toc181_3153881623">
            <w:r>
              <w:rPr>
                <w:rStyle w:val="Verzeichnissprung"/>
              </w:rPr>
              <w:t>14.1 Governing Law</w:t>
              <w:tab/>
              <w:t>6</w:t>
            </w:r>
          </w:hyperlink>
        </w:p>
        <w:p>
          <w:pPr>
            <w:pStyle w:val="Inhaltsverzeichnis3"/>
            <w:bidi w:val="0"/>
            <w:jc w:val="left"/>
            <w:rPr/>
          </w:pPr>
          <w:hyperlink w:anchor="__RefHeading___Toc183_3153881623">
            <w:r>
              <w:rPr>
                <w:rStyle w:val="Verzeichnissprung"/>
              </w:rPr>
              <w:t>14.2 Dispute Resolution Process</w:t>
              <w:tab/>
              <w:t>6</w:t>
            </w:r>
          </w:hyperlink>
        </w:p>
        <w:p>
          <w:pPr>
            <w:pStyle w:val="Inhaltsverzeichnis2"/>
            <w:bidi w:val="0"/>
            <w:jc w:val="left"/>
            <w:rPr/>
          </w:pPr>
          <w:hyperlink w:anchor="__RefHeading___Toc185_3153881623">
            <w:r>
              <w:rPr>
                <w:rStyle w:val="Verzeichnissprung"/>
              </w:rPr>
              <w:t>15. MISCELLANEOUS</w:t>
              <w:tab/>
              <w:t>6</w:t>
            </w:r>
          </w:hyperlink>
        </w:p>
        <w:p>
          <w:pPr>
            <w:pStyle w:val="Inhaltsverzeichnis3"/>
            <w:bidi w:val="0"/>
            <w:jc w:val="left"/>
            <w:rPr/>
          </w:pPr>
          <w:hyperlink w:anchor="__RefHeading___Toc187_3153881623">
            <w:r>
              <w:rPr>
                <w:rStyle w:val="Verzeichnissprung"/>
              </w:rPr>
              <w:t>15.1 Amendment</w:t>
              <w:tab/>
              <w:t>6</w:t>
            </w:r>
          </w:hyperlink>
        </w:p>
        <w:p>
          <w:pPr>
            <w:pStyle w:val="Inhaltsverzeichnis3"/>
            <w:bidi w:val="0"/>
            <w:jc w:val="left"/>
            <w:rPr/>
          </w:pPr>
          <w:hyperlink w:anchor="__RefHeading___Toc189_3153881623">
            <w:r>
              <w:rPr>
                <w:rStyle w:val="Verzeichnissprung"/>
              </w:rPr>
              <w:t>15.2 Assignment</w:t>
              <w:tab/>
              <w:t>6</w:t>
            </w:r>
          </w:hyperlink>
        </w:p>
        <w:p>
          <w:pPr>
            <w:pStyle w:val="Inhaltsverzeichnis3"/>
            <w:bidi w:val="0"/>
            <w:jc w:val="left"/>
            <w:rPr/>
          </w:pPr>
          <w:hyperlink w:anchor="__RefHeading___Toc191_3153881623">
            <w:r>
              <w:rPr>
                <w:rStyle w:val="Verzeichnissprung"/>
              </w:rPr>
              <w:t>15.3 Entire Agreement</w:t>
              <w:tab/>
              <w:t>6</w:t>
            </w:r>
          </w:hyperlink>
        </w:p>
        <w:p>
          <w:pPr>
            <w:pStyle w:val="Inhaltsverzeichnis3"/>
            <w:bidi w:val="0"/>
            <w:jc w:val="left"/>
            <w:rPr/>
          </w:pPr>
          <w:hyperlink w:anchor="__RefHeading___Toc193_3153881623">
            <w:r>
              <w:rPr>
                <w:rStyle w:val="Verzeichnissprung"/>
              </w:rPr>
              <w:t>15.4 Notices</w:t>
              <w:tab/>
              <w:t>6</w:t>
            </w:r>
          </w:hyperlink>
        </w:p>
        <w:p>
          <w:pPr>
            <w:pStyle w:val="Inhaltsverzeichnis2"/>
            <w:bidi w:val="0"/>
            <w:jc w:val="left"/>
            <w:rPr/>
          </w:pPr>
          <w:hyperlink w:anchor="__RefHeading___Toc195_3153881623">
            <w:r>
              <w:rPr>
                <w:rStyle w:val="Verzeichnissprung"/>
              </w:rPr>
              <w:t>SIGNATURES</w:t>
              <w:tab/>
              <w:t>6</w:t>
            </w:r>
          </w:hyperlink>
          <w:r>
            <w:rPr>
              <w:rStyle w:val="Verzeichnissprung"/>
            </w:rPr>
            <w:fldChar w:fldCharType="end"/>
          </w:r>
        </w:p>
      </w:sdtContent>
    </w:sdt>
    <w:p>
      <w:pPr>
        <w:pStyle w:val="Textkrper"/>
        <w:bidi w:val="0"/>
        <w:spacing w:lineRule="auto" w:line="276" w:before="0" w:after="140"/>
        <w:jc w:val="left"/>
        <w:rPr/>
      </w:pPr>
      <w:r>
        <w:rPr/>
      </w:r>
    </w:p>
    <w:p>
      <w:pPr>
        <w:pStyle w:val="Textkrper"/>
        <w:bidi w:val="0"/>
        <w:jc w:val="left"/>
        <w:rPr/>
      </w:pPr>
      <w:r>
        <w:rPr/>
      </w:r>
    </w:p>
    <w:p>
      <w:pPr>
        <w:pStyle w:val="Berschrift2"/>
        <w:bidi w:val="0"/>
        <w:jc w:val="left"/>
        <w:rPr/>
      </w:pPr>
      <w:r>
        <w:rPr/>
      </w:r>
    </w:p>
    <w:p>
      <w:pPr>
        <w:pStyle w:val="Berschrift2"/>
        <w:bidi w:val="0"/>
        <w:jc w:val="left"/>
        <w:rPr/>
      </w:pPr>
      <w:bookmarkStart w:id="2" w:name="__RefHeading___Toc109_3153881623"/>
      <w:bookmarkEnd w:id="2"/>
      <w:r>
        <w:rPr/>
        <w:t>2. SCOPE OF AGREEMENT</w:t>
      </w:r>
    </w:p>
    <w:p>
      <w:pPr>
        <w:pStyle w:val="Textkrper"/>
        <w:bidi w:val="0"/>
        <w:spacing w:lineRule="auto" w:line="276" w:before="0" w:after="140"/>
        <w:jc w:val="left"/>
        <w:rPr/>
      </w:pPr>
      <w:r>
        <w:rPr/>
        <w:t>This Framework Agreement establishes the general terms and conditions under which the Supplier will supply electronic components to the Customer. Individual purchase orders placed under this Agreement shall be subject to these terms.</w:t>
      </w:r>
    </w:p>
    <w:p>
      <w:pPr>
        <w:pStyle w:val="Berschrift3"/>
        <w:bidi w:val="0"/>
        <w:jc w:val="left"/>
        <w:rPr/>
      </w:pPr>
      <w:bookmarkStart w:id="3" w:name="__RefHeading___Toc111_3153881623"/>
      <w:bookmarkEnd w:id="3"/>
      <w:r>
        <w:rPr/>
        <w:t>2.1 Product Categories</w:t>
      </w:r>
    </w:p>
    <w:p>
      <w:pPr>
        <w:pStyle w:val="Textkrper"/>
        <w:numPr>
          <w:ilvl w:val="0"/>
          <w:numId w:val="1"/>
        </w:numPr>
        <w:tabs>
          <w:tab w:val="left" w:pos="709" w:leader="none"/>
        </w:tabs>
        <w:bidi w:val="0"/>
        <w:spacing w:before="0" w:after="0"/>
        <w:ind w:left="709" w:hanging="283"/>
        <w:jc w:val="left"/>
        <w:rPr/>
      </w:pPr>
      <w:r>
        <w:rPr/>
        <w:t xml:space="preserve">Integrated Circuits (ICs) </w:t>
      </w:r>
    </w:p>
    <w:p>
      <w:pPr>
        <w:pStyle w:val="Textkrper"/>
        <w:numPr>
          <w:ilvl w:val="0"/>
          <w:numId w:val="1"/>
        </w:numPr>
        <w:tabs>
          <w:tab w:val="left" w:pos="709" w:leader="none"/>
        </w:tabs>
        <w:bidi w:val="0"/>
        <w:spacing w:before="0" w:after="0"/>
        <w:ind w:left="709" w:hanging="283"/>
        <w:jc w:val="left"/>
        <w:rPr/>
      </w:pPr>
      <w:r>
        <w:rPr/>
        <w:t xml:space="preserve">Passive Components (Resistors, Capacitors, Inductors) </w:t>
      </w:r>
    </w:p>
    <w:p>
      <w:pPr>
        <w:pStyle w:val="Textkrper"/>
        <w:numPr>
          <w:ilvl w:val="0"/>
          <w:numId w:val="1"/>
        </w:numPr>
        <w:tabs>
          <w:tab w:val="left" w:pos="709" w:leader="none"/>
        </w:tabs>
        <w:bidi w:val="0"/>
        <w:spacing w:before="0" w:after="0"/>
        <w:ind w:left="709" w:hanging="283"/>
        <w:jc w:val="left"/>
        <w:rPr/>
      </w:pPr>
      <w:r>
        <w:rPr/>
        <w:t xml:space="preserve">Active Components (Transistors, Diodes, LEDs) </w:t>
      </w:r>
    </w:p>
    <w:p>
      <w:pPr>
        <w:pStyle w:val="Textkrper"/>
        <w:numPr>
          <w:ilvl w:val="0"/>
          <w:numId w:val="1"/>
        </w:numPr>
        <w:tabs>
          <w:tab w:val="left" w:pos="709" w:leader="none"/>
        </w:tabs>
        <w:bidi w:val="0"/>
        <w:spacing w:before="0" w:after="0"/>
        <w:ind w:left="709" w:hanging="283"/>
        <w:jc w:val="left"/>
        <w:rPr/>
      </w:pPr>
      <w:r>
        <w:rPr/>
        <w:t xml:space="preserve">Connectors and Cables </w:t>
      </w:r>
    </w:p>
    <w:p>
      <w:pPr>
        <w:pStyle w:val="Textkrper"/>
        <w:numPr>
          <w:ilvl w:val="0"/>
          <w:numId w:val="1"/>
        </w:numPr>
        <w:tabs>
          <w:tab w:val="left" w:pos="709" w:leader="none"/>
        </w:tabs>
        <w:bidi w:val="0"/>
        <w:spacing w:before="0" w:after="0"/>
        <w:ind w:left="709" w:hanging="283"/>
        <w:jc w:val="left"/>
        <w:rPr/>
      </w:pPr>
      <w:r>
        <w:rPr/>
        <w:t xml:space="preserve">PCB Components </w:t>
      </w:r>
    </w:p>
    <w:p>
      <w:pPr>
        <w:pStyle w:val="Textkrper"/>
        <w:numPr>
          <w:ilvl w:val="0"/>
          <w:numId w:val="1"/>
        </w:numPr>
        <w:tabs>
          <w:tab w:val="left" w:pos="709" w:leader="none"/>
        </w:tabs>
        <w:bidi w:val="0"/>
        <w:ind w:left="709" w:hanging="283"/>
        <w:jc w:val="left"/>
        <w:rPr/>
      </w:pPr>
      <w:r>
        <w:rPr/>
        <w:t xml:space="preserve">Other electronic components as mutually agreed </w:t>
      </w:r>
    </w:p>
    <w:p>
      <w:pPr>
        <w:pStyle w:val="Berschrift2"/>
        <w:bidi w:val="0"/>
        <w:jc w:val="left"/>
        <w:rPr/>
      </w:pPr>
      <w:bookmarkStart w:id="4" w:name="__RefHeading___Toc113_3153881623"/>
      <w:bookmarkEnd w:id="4"/>
      <w:r>
        <w:rPr/>
        <w:t>3. TERM AND TERMINATION</w:t>
      </w:r>
    </w:p>
    <w:p>
      <w:pPr>
        <w:pStyle w:val="Berschrift3"/>
        <w:bidi w:val="0"/>
        <w:jc w:val="left"/>
        <w:rPr/>
      </w:pPr>
      <w:bookmarkStart w:id="5" w:name="__RefHeading___Toc115_3153881623"/>
      <w:bookmarkEnd w:id="5"/>
      <w:r>
        <w:rPr/>
        <w:t>3.1 Contract Duration</w:t>
      </w:r>
    </w:p>
    <w:p>
      <w:pPr>
        <w:pStyle w:val="Textkrper"/>
        <w:bidi w:val="0"/>
        <w:spacing w:lineRule="auto" w:line="276" w:before="0" w:after="140"/>
        <w:jc w:val="left"/>
        <w:rPr/>
      </w:pPr>
      <w:r>
        <w:rPr/>
        <w:t xml:space="preserve">This Agreement shall commence on the Effective Date and remain valid for a period of </w:t>
      </w:r>
      <w:r>
        <w:rPr>
          <w:rStyle w:val="Strong"/>
        </w:rPr>
        <w:t>[12/24/36] months</w:t>
      </w:r>
      <w:r>
        <w:rPr/>
        <w:t>, unless terminated earlier in accordance with this section.</w:t>
      </w:r>
    </w:p>
    <w:p>
      <w:pPr>
        <w:pStyle w:val="Berschrift3"/>
        <w:bidi w:val="0"/>
        <w:jc w:val="left"/>
        <w:rPr/>
      </w:pPr>
      <w:bookmarkStart w:id="6" w:name="__RefHeading___Toc117_3153881623"/>
      <w:bookmarkEnd w:id="6"/>
      <w:r>
        <w:rPr/>
        <w:t>3.2 Termination</w:t>
      </w:r>
    </w:p>
    <w:p>
      <w:pPr>
        <w:pStyle w:val="Textkrper"/>
        <w:bidi w:val="0"/>
        <w:spacing w:lineRule="auto" w:line="276" w:before="0" w:after="140"/>
        <w:jc w:val="left"/>
        <w:rPr/>
      </w:pPr>
      <w:r>
        <w:rPr/>
        <w:t>Either party may terminate this Agreement:</w:t>
      </w:r>
    </w:p>
    <w:p>
      <w:pPr>
        <w:pStyle w:val="Textkrper"/>
        <w:numPr>
          <w:ilvl w:val="0"/>
          <w:numId w:val="2"/>
        </w:numPr>
        <w:tabs>
          <w:tab w:val="left" w:pos="709" w:leader="none"/>
        </w:tabs>
        <w:bidi w:val="0"/>
        <w:spacing w:before="0" w:after="0"/>
        <w:ind w:left="709" w:hanging="283"/>
        <w:jc w:val="left"/>
        <w:rPr/>
      </w:pPr>
      <w:r>
        <w:rPr/>
        <w:t xml:space="preserve">With </w:t>
      </w:r>
      <w:r>
        <w:rPr>
          <w:rStyle w:val="Strong"/>
        </w:rPr>
        <w:t>90 days written notice</w:t>
      </w:r>
      <w:r>
        <w:rPr/>
        <w:t xml:space="preserve"> without cause </w:t>
      </w:r>
    </w:p>
    <w:p>
      <w:pPr>
        <w:pStyle w:val="Textkrper"/>
        <w:numPr>
          <w:ilvl w:val="0"/>
          <w:numId w:val="2"/>
        </w:numPr>
        <w:tabs>
          <w:tab w:val="left" w:pos="709" w:leader="none"/>
        </w:tabs>
        <w:bidi w:val="0"/>
        <w:spacing w:before="0" w:after="0"/>
        <w:ind w:left="709" w:hanging="283"/>
        <w:jc w:val="left"/>
        <w:rPr/>
      </w:pPr>
      <w:r>
        <w:rPr/>
        <w:t xml:space="preserve">Immediately for material breach, subject to 30 days cure period </w:t>
      </w:r>
    </w:p>
    <w:p>
      <w:pPr>
        <w:pStyle w:val="Textkrper"/>
        <w:numPr>
          <w:ilvl w:val="0"/>
          <w:numId w:val="2"/>
        </w:numPr>
        <w:tabs>
          <w:tab w:val="left" w:pos="709" w:leader="none"/>
        </w:tabs>
        <w:bidi w:val="0"/>
        <w:ind w:left="709" w:hanging="283"/>
        <w:jc w:val="left"/>
        <w:rPr/>
      </w:pPr>
      <w:r>
        <w:rPr/>
        <w:t xml:space="preserve">Immediately in case of insolvency or bankruptcy of the other party </w:t>
      </w:r>
    </w:p>
    <w:p>
      <w:pPr>
        <w:pStyle w:val="Berschrift2"/>
        <w:bidi w:val="0"/>
        <w:jc w:val="left"/>
        <w:rPr/>
      </w:pPr>
      <w:bookmarkStart w:id="7" w:name="__RefHeading___Toc119_3153881623"/>
      <w:bookmarkEnd w:id="7"/>
      <w:r>
        <w:rPr/>
        <w:t>4. PRICING AND DISCOUNT STRUCTURE</w:t>
      </w:r>
    </w:p>
    <w:p>
      <w:pPr>
        <w:pStyle w:val="Berschrift3"/>
        <w:bidi w:val="0"/>
        <w:jc w:val="left"/>
        <w:rPr/>
      </w:pPr>
      <w:bookmarkStart w:id="8" w:name="__RefHeading___Toc121_3153881623"/>
      <w:bookmarkEnd w:id="8"/>
      <w:r>
        <w:rPr/>
        <w:t>4.1 Base Pricing</w:t>
      </w:r>
    </w:p>
    <w:p>
      <w:pPr>
        <w:pStyle w:val="Textkrper"/>
        <w:bidi w:val="0"/>
        <w:spacing w:lineRule="auto" w:line="276" w:before="0" w:after="140"/>
        <w:jc w:val="left"/>
        <w:rPr/>
      </w:pPr>
      <w:r>
        <w:rPr/>
        <w:t>Prices are based on Supplier's current price list, as amended from time to time with 60 days notice.</w:t>
      </w:r>
    </w:p>
    <w:p>
      <w:pPr>
        <w:pStyle w:val="Berschrift3"/>
        <w:bidi w:val="0"/>
        <w:jc w:val="left"/>
        <w:rPr/>
      </w:pPr>
      <w:bookmarkStart w:id="9" w:name="__RefHeading___Toc123_3153881623"/>
      <w:bookmarkEnd w:id="9"/>
      <w:r>
        <w:rPr/>
        <w:t>4.2 Volume-Based Discounts (EU Region)</w:t>
      </w:r>
    </w:p>
    <w:tbl>
      <w:tblPr>
        <w:tblW w:w="5047" w:type="dxa"/>
        <w:jc w:val="left"/>
        <w:tblInd w:w="0" w:type="dxa"/>
        <w:tblLayout w:type="fixed"/>
        <w:tblCellMar>
          <w:top w:w="28" w:type="dxa"/>
          <w:left w:w="28" w:type="dxa"/>
          <w:bottom w:w="28" w:type="dxa"/>
          <w:right w:w="28" w:type="dxa"/>
        </w:tblCellMar>
      </w:tblPr>
      <w:tblGrid>
        <w:gridCol w:w="3449"/>
        <w:gridCol w:w="1597"/>
      </w:tblGrid>
      <w:tr>
        <w:trPr>
          <w:tblHeader w:val="true"/>
        </w:trPr>
        <w:tc>
          <w:tcPr>
            <w:tcW w:w="3449" w:type="dxa"/>
            <w:tcBorders/>
            <w:vAlign w:val="center"/>
          </w:tcPr>
          <w:p>
            <w:pPr>
              <w:pStyle w:val="Tabellenberschrift"/>
              <w:widowControl w:val="false"/>
              <w:suppressLineNumbers/>
              <w:bidi w:val="0"/>
              <w:jc w:val="center"/>
              <w:rPr/>
            </w:pPr>
            <w:r>
              <w:rPr/>
              <w:t>Annual Purchase Volume (EUR)</w:t>
            </w:r>
          </w:p>
        </w:tc>
        <w:tc>
          <w:tcPr>
            <w:tcW w:w="1597" w:type="dxa"/>
            <w:tcBorders/>
            <w:vAlign w:val="center"/>
          </w:tcPr>
          <w:p>
            <w:pPr>
              <w:pStyle w:val="Tabellenberschrift"/>
              <w:widowControl w:val="false"/>
              <w:suppressLineNumbers/>
              <w:bidi w:val="0"/>
              <w:jc w:val="center"/>
              <w:rPr/>
            </w:pPr>
            <w:r>
              <w:rPr/>
              <w:t>Discount Rate</w:t>
            </w:r>
          </w:p>
        </w:tc>
      </w:tr>
      <w:tr>
        <w:trPr/>
        <w:tc>
          <w:tcPr>
            <w:tcW w:w="3449" w:type="dxa"/>
            <w:tcBorders/>
            <w:vAlign w:val="center"/>
          </w:tcPr>
          <w:p>
            <w:pPr>
              <w:pStyle w:val="Tabelleninhalt"/>
              <w:widowControl w:val="false"/>
              <w:suppressLineNumbers/>
              <w:bidi w:val="0"/>
              <w:jc w:val="left"/>
              <w:rPr/>
            </w:pPr>
            <w:r>
              <w:rPr/>
              <w:t>€</w:t>
            </w:r>
            <w:r>
              <w:rPr/>
              <w:t>50,000 - €99,999</w:t>
            </w:r>
          </w:p>
        </w:tc>
        <w:tc>
          <w:tcPr>
            <w:tcW w:w="1597" w:type="dxa"/>
            <w:tcBorders/>
            <w:vAlign w:val="center"/>
          </w:tcPr>
          <w:p>
            <w:pPr>
              <w:pStyle w:val="Tabelleninhalt"/>
              <w:widowControl w:val="false"/>
              <w:suppressLineNumbers/>
              <w:bidi w:val="0"/>
              <w:jc w:val="left"/>
              <w:rPr/>
            </w:pPr>
            <w:r>
              <w:rPr/>
              <w:t>5%</w:t>
            </w:r>
          </w:p>
        </w:tc>
      </w:tr>
      <w:tr>
        <w:trPr/>
        <w:tc>
          <w:tcPr>
            <w:tcW w:w="3449" w:type="dxa"/>
            <w:tcBorders/>
            <w:vAlign w:val="center"/>
          </w:tcPr>
          <w:p>
            <w:pPr>
              <w:pStyle w:val="Tabelleninhalt"/>
              <w:widowControl w:val="false"/>
              <w:suppressLineNumbers/>
              <w:bidi w:val="0"/>
              <w:jc w:val="left"/>
              <w:rPr/>
            </w:pPr>
            <w:r>
              <w:rPr/>
              <w:t>€</w:t>
            </w:r>
            <w:r>
              <w:rPr/>
              <w:t>100,000 - €249,999</w:t>
            </w:r>
          </w:p>
        </w:tc>
        <w:tc>
          <w:tcPr>
            <w:tcW w:w="1597" w:type="dxa"/>
            <w:tcBorders/>
            <w:vAlign w:val="center"/>
          </w:tcPr>
          <w:p>
            <w:pPr>
              <w:pStyle w:val="Tabelleninhalt"/>
              <w:widowControl w:val="false"/>
              <w:suppressLineNumbers/>
              <w:bidi w:val="0"/>
              <w:jc w:val="left"/>
              <w:rPr/>
            </w:pPr>
            <w:r>
              <w:rPr/>
              <w:t>8%</w:t>
            </w:r>
          </w:p>
        </w:tc>
      </w:tr>
      <w:tr>
        <w:trPr/>
        <w:tc>
          <w:tcPr>
            <w:tcW w:w="3449" w:type="dxa"/>
            <w:tcBorders/>
            <w:vAlign w:val="center"/>
          </w:tcPr>
          <w:p>
            <w:pPr>
              <w:pStyle w:val="Tabelleninhalt"/>
              <w:widowControl w:val="false"/>
              <w:suppressLineNumbers/>
              <w:bidi w:val="0"/>
              <w:jc w:val="left"/>
              <w:rPr/>
            </w:pPr>
            <w:r>
              <w:rPr/>
              <w:t>€</w:t>
            </w:r>
            <w:r>
              <w:rPr/>
              <w:t>250,000 - €499,999</w:t>
            </w:r>
          </w:p>
        </w:tc>
        <w:tc>
          <w:tcPr>
            <w:tcW w:w="1597" w:type="dxa"/>
            <w:tcBorders/>
            <w:vAlign w:val="center"/>
          </w:tcPr>
          <w:p>
            <w:pPr>
              <w:pStyle w:val="Tabelleninhalt"/>
              <w:widowControl w:val="false"/>
              <w:suppressLineNumbers/>
              <w:bidi w:val="0"/>
              <w:jc w:val="left"/>
              <w:rPr/>
            </w:pPr>
            <w:r>
              <w:rPr/>
              <w:t>12%</w:t>
            </w:r>
          </w:p>
        </w:tc>
      </w:tr>
      <w:tr>
        <w:trPr/>
        <w:tc>
          <w:tcPr>
            <w:tcW w:w="3449" w:type="dxa"/>
            <w:tcBorders/>
            <w:vAlign w:val="center"/>
          </w:tcPr>
          <w:p>
            <w:pPr>
              <w:pStyle w:val="Tabelleninhalt"/>
              <w:widowControl w:val="false"/>
              <w:suppressLineNumbers/>
              <w:bidi w:val="0"/>
              <w:jc w:val="left"/>
              <w:rPr/>
            </w:pPr>
            <w:r>
              <w:rPr/>
              <w:t>€</w:t>
            </w:r>
            <w:r>
              <w:rPr/>
              <w:t>500,000 - €999,999</w:t>
            </w:r>
          </w:p>
        </w:tc>
        <w:tc>
          <w:tcPr>
            <w:tcW w:w="1597" w:type="dxa"/>
            <w:tcBorders/>
            <w:vAlign w:val="center"/>
          </w:tcPr>
          <w:p>
            <w:pPr>
              <w:pStyle w:val="Tabelleninhalt"/>
              <w:widowControl w:val="false"/>
              <w:suppressLineNumbers/>
              <w:bidi w:val="0"/>
              <w:jc w:val="left"/>
              <w:rPr/>
            </w:pPr>
            <w:r>
              <w:rPr/>
              <w:t>15%</w:t>
            </w:r>
          </w:p>
        </w:tc>
      </w:tr>
      <w:tr>
        <w:trPr/>
        <w:tc>
          <w:tcPr>
            <w:tcW w:w="3449" w:type="dxa"/>
            <w:tcBorders/>
            <w:vAlign w:val="center"/>
          </w:tcPr>
          <w:p>
            <w:pPr>
              <w:pStyle w:val="Tabelleninhalt"/>
              <w:widowControl w:val="false"/>
              <w:suppressLineNumbers/>
              <w:bidi w:val="0"/>
              <w:jc w:val="left"/>
              <w:rPr/>
            </w:pPr>
            <w:r>
              <w:rPr/>
              <w:t>€</w:t>
            </w:r>
            <w:r>
              <w:rPr/>
              <w:t>1,000,000+</w:t>
            </w:r>
          </w:p>
        </w:tc>
        <w:tc>
          <w:tcPr>
            <w:tcW w:w="1597" w:type="dxa"/>
            <w:tcBorders/>
            <w:vAlign w:val="center"/>
          </w:tcPr>
          <w:p>
            <w:pPr>
              <w:pStyle w:val="Tabelleninhalt"/>
              <w:widowControl w:val="false"/>
              <w:suppressLineNumbers/>
              <w:bidi w:val="0"/>
              <w:jc w:val="left"/>
              <w:rPr/>
            </w:pPr>
            <w:r>
              <w:rPr/>
              <w:t>18%</w:t>
            </w:r>
          </w:p>
        </w:tc>
      </w:tr>
    </w:tbl>
    <w:p>
      <w:pPr>
        <w:pStyle w:val="Textkrper"/>
        <w:bidi w:val="0"/>
        <w:spacing w:lineRule="auto" w:line="276" w:before="0" w:after="140"/>
        <w:jc w:val="left"/>
        <w:rPr/>
      </w:pPr>
      <w:r>
        <w:rPr>
          <w:rStyle w:val="Strong"/>
        </w:rPr>
        <w:t>Additional EU Benefits:</w:t>
      </w:r>
    </w:p>
    <w:p>
      <w:pPr>
        <w:pStyle w:val="Textkrper"/>
        <w:numPr>
          <w:ilvl w:val="0"/>
          <w:numId w:val="3"/>
        </w:numPr>
        <w:tabs>
          <w:tab w:val="left" w:pos="709" w:leader="none"/>
        </w:tabs>
        <w:bidi w:val="0"/>
        <w:spacing w:before="0" w:after="0"/>
        <w:ind w:left="709" w:hanging="283"/>
        <w:jc w:val="left"/>
        <w:rPr/>
      </w:pPr>
      <w:r>
        <w:rPr/>
        <w:t xml:space="preserve">Payment terms: Net 60 days </w:t>
      </w:r>
    </w:p>
    <w:p>
      <w:pPr>
        <w:pStyle w:val="Textkrper"/>
        <w:numPr>
          <w:ilvl w:val="0"/>
          <w:numId w:val="3"/>
        </w:numPr>
        <w:tabs>
          <w:tab w:val="left" w:pos="709" w:leader="none"/>
        </w:tabs>
        <w:bidi w:val="0"/>
        <w:spacing w:before="0" w:after="0"/>
        <w:ind w:left="709" w:hanging="283"/>
        <w:jc w:val="left"/>
        <w:rPr/>
      </w:pPr>
      <w:r>
        <w:rPr/>
        <w:t xml:space="preserve">Free shipping on orders over €5,000 </w:t>
      </w:r>
    </w:p>
    <w:p>
      <w:pPr>
        <w:pStyle w:val="Textkrper"/>
        <w:numPr>
          <w:ilvl w:val="0"/>
          <w:numId w:val="3"/>
        </w:numPr>
        <w:tabs>
          <w:tab w:val="left" w:pos="709" w:leader="none"/>
        </w:tabs>
        <w:bidi w:val="0"/>
        <w:spacing w:before="0" w:after="0"/>
        <w:ind w:left="709" w:hanging="283"/>
        <w:jc w:val="left"/>
        <w:rPr/>
      </w:pPr>
      <w:r>
        <w:rPr/>
        <w:t xml:space="preserve">Dedicated EU account manager </w:t>
      </w:r>
    </w:p>
    <w:p>
      <w:pPr>
        <w:pStyle w:val="Textkrper"/>
        <w:numPr>
          <w:ilvl w:val="0"/>
          <w:numId w:val="3"/>
        </w:numPr>
        <w:tabs>
          <w:tab w:val="left" w:pos="709" w:leader="none"/>
        </w:tabs>
        <w:bidi w:val="0"/>
        <w:ind w:left="709" w:hanging="283"/>
        <w:jc w:val="left"/>
        <w:rPr/>
      </w:pPr>
      <w:r>
        <w:rPr/>
        <w:t xml:space="preserve">Priority allocation during supply constraints </w:t>
      </w:r>
    </w:p>
    <w:p>
      <w:pPr>
        <w:pStyle w:val="Berschrift3"/>
        <w:bidi w:val="0"/>
        <w:jc w:val="left"/>
        <w:rPr/>
      </w:pPr>
      <w:bookmarkStart w:id="10" w:name="__RefHeading___Toc125_3153881623"/>
      <w:bookmarkEnd w:id="10"/>
      <w:r>
        <w:rPr/>
        <w:t>4.3 Volume-Based Discounts (US Region)</w:t>
      </w:r>
    </w:p>
    <w:tbl>
      <w:tblPr>
        <w:tblW w:w="5020" w:type="dxa"/>
        <w:jc w:val="left"/>
        <w:tblInd w:w="0" w:type="dxa"/>
        <w:tblLayout w:type="fixed"/>
        <w:tblCellMar>
          <w:top w:w="28" w:type="dxa"/>
          <w:left w:w="28" w:type="dxa"/>
          <w:bottom w:w="28" w:type="dxa"/>
          <w:right w:w="28" w:type="dxa"/>
        </w:tblCellMar>
      </w:tblPr>
      <w:tblGrid>
        <w:gridCol w:w="3422"/>
        <w:gridCol w:w="1597"/>
      </w:tblGrid>
      <w:tr>
        <w:trPr>
          <w:tblHeader w:val="true"/>
        </w:trPr>
        <w:tc>
          <w:tcPr>
            <w:tcW w:w="3422" w:type="dxa"/>
            <w:tcBorders/>
            <w:vAlign w:val="center"/>
          </w:tcPr>
          <w:p>
            <w:pPr>
              <w:pStyle w:val="Tabellenberschrift"/>
              <w:widowControl w:val="false"/>
              <w:suppressLineNumbers/>
              <w:bidi w:val="0"/>
              <w:jc w:val="center"/>
              <w:rPr/>
            </w:pPr>
            <w:r>
              <w:rPr/>
              <w:t>Annual Purchase Volume (USD)</w:t>
            </w:r>
          </w:p>
        </w:tc>
        <w:tc>
          <w:tcPr>
            <w:tcW w:w="1597" w:type="dxa"/>
            <w:tcBorders/>
            <w:vAlign w:val="center"/>
          </w:tcPr>
          <w:p>
            <w:pPr>
              <w:pStyle w:val="Tabellenberschrift"/>
              <w:widowControl w:val="false"/>
              <w:suppressLineNumbers/>
              <w:bidi w:val="0"/>
              <w:jc w:val="center"/>
              <w:rPr/>
            </w:pPr>
            <w:r>
              <w:rPr/>
              <w:t>Discount Rate</w:t>
            </w:r>
          </w:p>
        </w:tc>
      </w:tr>
      <w:tr>
        <w:trPr/>
        <w:tc>
          <w:tcPr>
            <w:tcW w:w="3422" w:type="dxa"/>
            <w:tcBorders/>
            <w:vAlign w:val="center"/>
          </w:tcPr>
          <w:p>
            <w:pPr>
              <w:pStyle w:val="Tabelleninhalt"/>
              <w:widowControl w:val="false"/>
              <w:suppressLineNumbers/>
              <w:bidi w:val="0"/>
              <w:jc w:val="left"/>
              <w:rPr/>
            </w:pPr>
            <w:r>
              <w:rPr/>
              <w:t>$60,000 - $119,999</w:t>
            </w:r>
          </w:p>
        </w:tc>
        <w:tc>
          <w:tcPr>
            <w:tcW w:w="1597" w:type="dxa"/>
            <w:tcBorders/>
            <w:vAlign w:val="center"/>
          </w:tcPr>
          <w:p>
            <w:pPr>
              <w:pStyle w:val="Tabelleninhalt"/>
              <w:widowControl w:val="false"/>
              <w:suppressLineNumbers/>
              <w:bidi w:val="0"/>
              <w:jc w:val="left"/>
              <w:rPr/>
            </w:pPr>
            <w:r>
              <w:rPr/>
              <w:t>4%</w:t>
            </w:r>
          </w:p>
        </w:tc>
      </w:tr>
      <w:tr>
        <w:trPr/>
        <w:tc>
          <w:tcPr>
            <w:tcW w:w="3422" w:type="dxa"/>
            <w:tcBorders/>
            <w:vAlign w:val="center"/>
          </w:tcPr>
          <w:p>
            <w:pPr>
              <w:pStyle w:val="Tabelleninhalt"/>
              <w:widowControl w:val="false"/>
              <w:suppressLineNumbers/>
              <w:bidi w:val="0"/>
              <w:jc w:val="left"/>
              <w:rPr/>
            </w:pPr>
            <w:r>
              <w:rPr/>
              <w:t>$120,000 - $299,999</w:t>
            </w:r>
          </w:p>
        </w:tc>
        <w:tc>
          <w:tcPr>
            <w:tcW w:w="1597" w:type="dxa"/>
            <w:tcBorders/>
            <w:vAlign w:val="center"/>
          </w:tcPr>
          <w:p>
            <w:pPr>
              <w:pStyle w:val="Tabelleninhalt"/>
              <w:widowControl w:val="false"/>
              <w:suppressLineNumbers/>
              <w:bidi w:val="0"/>
              <w:jc w:val="left"/>
              <w:rPr/>
            </w:pPr>
            <w:r>
              <w:rPr/>
              <w:t>7%</w:t>
            </w:r>
          </w:p>
        </w:tc>
      </w:tr>
      <w:tr>
        <w:trPr/>
        <w:tc>
          <w:tcPr>
            <w:tcW w:w="3422" w:type="dxa"/>
            <w:tcBorders/>
            <w:vAlign w:val="center"/>
          </w:tcPr>
          <w:p>
            <w:pPr>
              <w:pStyle w:val="Tabelleninhalt"/>
              <w:widowControl w:val="false"/>
              <w:suppressLineNumbers/>
              <w:bidi w:val="0"/>
              <w:jc w:val="left"/>
              <w:rPr/>
            </w:pPr>
            <w:r>
              <w:rPr/>
              <w:t>$300,000 - $599,999</w:t>
            </w:r>
          </w:p>
        </w:tc>
        <w:tc>
          <w:tcPr>
            <w:tcW w:w="1597" w:type="dxa"/>
            <w:tcBorders/>
            <w:vAlign w:val="center"/>
          </w:tcPr>
          <w:p>
            <w:pPr>
              <w:pStyle w:val="Tabelleninhalt"/>
              <w:widowControl w:val="false"/>
              <w:suppressLineNumbers/>
              <w:bidi w:val="0"/>
              <w:jc w:val="left"/>
              <w:rPr/>
            </w:pPr>
            <w:r>
              <w:rPr/>
              <w:t>10%</w:t>
            </w:r>
          </w:p>
        </w:tc>
      </w:tr>
      <w:tr>
        <w:trPr/>
        <w:tc>
          <w:tcPr>
            <w:tcW w:w="3422" w:type="dxa"/>
            <w:tcBorders/>
            <w:vAlign w:val="center"/>
          </w:tcPr>
          <w:p>
            <w:pPr>
              <w:pStyle w:val="Tabelleninhalt"/>
              <w:widowControl w:val="false"/>
              <w:suppressLineNumbers/>
              <w:bidi w:val="0"/>
              <w:jc w:val="left"/>
              <w:rPr/>
            </w:pPr>
            <w:r>
              <w:rPr/>
              <w:t>$600,000 - $1,199,999</w:t>
            </w:r>
          </w:p>
        </w:tc>
        <w:tc>
          <w:tcPr>
            <w:tcW w:w="1597" w:type="dxa"/>
            <w:tcBorders/>
            <w:vAlign w:val="center"/>
          </w:tcPr>
          <w:p>
            <w:pPr>
              <w:pStyle w:val="Tabelleninhalt"/>
              <w:widowControl w:val="false"/>
              <w:suppressLineNumbers/>
              <w:bidi w:val="0"/>
              <w:jc w:val="left"/>
              <w:rPr/>
            </w:pPr>
            <w:r>
              <w:rPr/>
              <w:t>13%</w:t>
            </w:r>
          </w:p>
        </w:tc>
      </w:tr>
      <w:tr>
        <w:trPr/>
        <w:tc>
          <w:tcPr>
            <w:tcW w:w="3422" w:type="dxa"/>
            <w:tcBorders/>
            <w:vAlign w:val="center"/>
          </w:tcPr>
          <w:p>
            <w:pPr>
              <w:pStyle w:val="Tabelleninhalt"/>
              <w:widowControl w:val="false"/>
              <w:suppressLineNumbers/>
              <w:bidi w:val="0"/>
              <w:jc w:val="left"/>
              <w:rPr/>
            </w:pPr>
            <w:r>
              <w:rPr/>
              <w:t>$1,200,000+</w:t>
            </w:r>
          </w:p>
        </w:tc>
        <w:tc>
          <w:tcPr>
            <w:tcW w:w="1597" w:type="dxa"/>
            <w:tcBorders/>
            <w:vAlign w:val="center"/>
          </w:tcPr>
          <w:p>
            <w:pPr>
              <w:pStyle w:val="Tabelleninhalt"/>
              <w:widowControl w:val="false"/>
              <w:suppressLineNumbers/>
              <w:bidi w:val="0"/>
              <w:jc w:val="left"/>
              <w:rPr/>
            </w:pPr>
            <w:r>
              <w:rPr/>
              <w:t>16%</w:t>
            </w:r>
          </w:p>
        </w:tc>
      </w:tr>
    </w:tbl>
    <w:p>
      <w:pPr>
        <w:pStyle w:val="Textkrper"/>
        <w:bidi w:val="0"/>
        <w:spacing w:lineRule="auto" w:line="276" w:before="0" w:after="140"/>
        <w:jc w:val="left"/>
        <w:rPr/>
      </w:pPr>
      <w:r>
        <w:rPr>
          <w:rStyle w:val="Strong"/>
        </w:rPr>
        <w:t>Additional US Benefits:</w:t>
      </w:r>
    </w:p>
    <w:p>
      <w:pPr>
        <w:pStyle w:val="Textkrper"/>
        <w:numPr>
          <w:ilvl w:val="0"/>
          <w:numId w:val="4"/>
        </w:numPr>
        <w:tabs>
          <w:tab w:val="left" w:pos="709" w:leader="none"/>
        </w:tabs>
        <w:bidi w:val="0"/>
        <w:spacing w:before="0" w:after="0"/>
        <w:ind w:left="709" w:hanging="283"/>
        <w:jc w:val="left"/>
        <w:rPr/>
      </w:pPr>
      <w:r>
        <w:rPr/>
        <w:t xml:space="preserve">Payment terms: Net 45 days </w:t>
      </w:r>
    </w:p>
    <w:p>
      <w:pPr>
        <w:pStyle w:val="Textkrper"/>
        <w:numPr>
          <w:ilvl w:val="0"/>
          <w:numId w:val="4"/>
        </w:numPr>
        <w:tabs>
          <w:tab w:val="left" w:pos="709" w:leader="none"/>
        </w:tabs>
        <w:bidi w:val="0"/>
        <w:spacing w:before="0" w:after="0"/>
        <w:ind w:left="709" w:hanging="283"/>
        <w:jc w:val="left"/>
        <w:rPr/>
      </w:pPr>
      <w:r>
        <w:rPr/>
        <w:t xml:space="preserve">Free shipping on orders over $6,000 </w:t>
      </w:r>
    </w:p>
    <w:p>
      <w:pPr>
        <w:pStyle w:val="Textkrper"/>
        <w:numPr>
          <w:ilvl w:val="0"/>
          <w:numId w:val="4"/>
        </w:numPr>
        <w:tabs>
          <w:tab w:val="left" w:pos="709" w:leader="none"/>
        </w:tabs>
        <w:bidi w:val="0"/>
        <w:spacing w:before="0" w:after="0"/>
        <w:ind w:left="709" w:hanging="283"/>
        <w:jc w:val="left"/>
        <w:rPr/>
      </w:pPr>
      <w:r>
        <w:rPr/>
        <w:t xml:space="preserve">Regional account support </w:t>
      </w:r>
    </w:p>
    <w:p>
      <w:pPr>
        <w:pStyle w:val="Textkrper"/>
        <w:numPr>
          <w:ilvl w:val="0"/>
          <w:numId w:val="4"/>
        </w:numPr>
        <w:tabs>
          <w:tab w:val="left" w:pos="709" w:leader="none"/>
        </w:tabs>
        <w:bidi w:val="0"/>
        <w:ind w:left="709" w:hanging="283"/>
        <w:jc w:val="left"/>
        <w:rPr/>
      </w:pPr>
      <w:r>
        <w:rPr/>
        <w:t xml:space="preserve">Standard lead times </w:t>
      </w:r>
    </w:p>
    <w:p>
      <w:pPr>
        <w:pStyle w:val="Berschrift3"/>
        <w:bidi w:val="0"/>
        <w:jc w:val="left"/>
        <w:rPr/>
      </w:pPr>
      <w:bookmarkStart w:id="11" w:name="__RefHeading___Toc127_3153881623"/>
      <w:bookmarkEnd w:id="11"/>
      <w:r>
        <w:rPr/>
        <w:t>4.4 Special Discounts</w:t>
      </w:r>
    </w:p>
    <w:p>
      <w:pPr>
        <w:pStyle w:val="Textkrper"/>
        <w:numPr>
          <w:ilvl w:val="0"/>
          <w:numId w:val="5"/>
        </w:numPr>
        <w:tabs>
          <w:tab w:val="left" w:pos="709" w:leader="none"/>
        </w:tabs>
        <w:bidi w:val="0"/>
        <w:spacing w:before="0" w:after="0"/>
        <w:ind w:left="709" w:hanging="283"/>
        <w:jc w:val="left"/>
        <w:rPr/>
      </w:pPr>
      <w:r>
        <w:rPr>
          <w:rStyle w:val="Strong"/>
        </w:rPr>
        <w:t>Early Payment:</w:t>
      </w:r>
      <w:r>
        <w:rPr/>
        <w:t xml:space="preserve"> Additional 2% discount for payment within 10 days </w:t>
      </w:r>
    </w:p>
    <w:p>
      <w:pPr>
        <w:pStyle w:val="Textkrper"/>
        <w:numPr>
          <w:ilvl w:val="0"/>
          <w:numId w:val="5"/>
        </w:numPr>
        <w:tabs>
          <w:tab w:val="left" w:pos="709" w:leader="none"/>
        </w:tabs>
        <w:bidi w:val="0"/>
        <w:spacing w:before="0" w:after="0"/>
        <w:ind w:left="709" w:hanging="283"/>
        <w:jc w:val="left"/>
        <w:rPr/>
      </w:pPr>
      <w:r>
        <w:rPr>
          <w:rStyle w:val="Strong"/>
        </w:rPr>
        <w:t>Strategic Components:</w:t>
      </w:r>
      <w:r>
        <w:rPr/>
        <w:t xml:space="preserve"> Special pricing available for designated strategic components </w:t>
      </w:r>
    </w:p>
    <w:p>
      <w:pPr>
        <w:pStyle w:val="Textkrper"/>
        <w:numPr>
          <w:ilvl w:val="0"/>
          <w:numId w:val="5"/>
        </w:numPr>
        <w:tabs>
          <w:tab w:val="left" w:pos="709" w:leader="none"/>
        </w:tabs>
        <w:bidi w:val="0"/>
        <w:ind w:left="709" w:hanging="283"/>
        <w:jc w:val="left"/>
        <w:rPr/>
      </w:pPr>
      <w:r>
        <w:rPr>
          <w:rStyle w:val="Strong"/>
        </w:rPr>
        <w:t>Long-term Forecast:</w:t>
      </w:r>
      <w:r>
        <w:rPr/>
        <w:t xml:space="preserve"> Additional 3% discount on orders with 6-month binding forecast </w:t>
      </w:r>
    </w:p>
    <w:p>
      <w:pPr>
        <w:pStyle w:val="Berschrift2"/>
        <w:bidi w:val="0"/>
        <w:jc w:val="left"/>
        <w:rPr/>
      </w:pPr>
      <w:bookmarkStart w:id="12" w:name="__RefHeading___Toc129_3153881623"/>
      <w:bookmarkEnd w:id="12"/>
      <w:r>
        <w:rPr/>
        <w:t>5. ORDERING PROCESS</w:t>
      </w:r>
    </w:p>
    <w:p>
      <w:pPr>
        <w:pStyle w:val="Berschrift3"/>
        <w:bidi w:val="0"/>
        <w:jc w:val="left"/>
        <w:rPr/>
      </w:pPr>
      <w:bookmarkStart w:id="13" w:name="__RefHeading___Toc131_3153881623"/>
      <w:bookmarkEnd w:id="13"/>
      <w:r>
        <w:rPr/>
        <w:t>5.1 Purchase Orders</w:t>
      </w:r>
    </w:p>
    <w:p>
      <w:pPr>
        <w:pStyle w:val="Textkrper"/>
        <w:bidi w:val="0"/>
        <w:spacing w:lineRule="auto" w:line="276" w:before="0" w:after="140"/>
        <w:jc w:val="left"/>
        <w:rPr/>
      </w:pPr>
      <w:r>
        <w:rPr/>
        <w:t>All orders must be submitted via:</w:t>
      </w:r>
    </w:p>
    <w:p>
      <w:pPr>
        <w:pStyle w:val="Textkrper"/>
        <w:numPr>
          <w:ilvl w:val="0"/>
          <w:numId w:val="6"/>
        </w:numPr>
        <w:tabs>
          <w:tab w:val="left" w:pos="709" w:leader="none"/>
        </w:tabs>
        <w:bidi w:val="0"/>
        <w:spacing w:before="0" w:after="0"/>
        <w:ind w:left="709" w:hanging="283"/>
        <w:jc w:val="left"/>
        <w:rPr/>
      </w:pPr>
      <w:r>
        <w:rPr/>
        <w:t xml:space="preserve">Electronic ordering system </w:t>
      </w:r>
    </w:p>
    <w:p>
      <w:pPr>
        <w:pStyle w:val="Textkrper"/>
        <w:numPr>
          <w:ilvl w:val="0"/>
          <w:numId w:val="6"/>
        </w:numPr>
        <w:tabs>
          <w:tab w:val="left" w:pos="709" w:leader="none"/>
        </w:tabs>
        <w:bidi w:val="0"/>
        <w:spacing w:before="0" w:after="0"/>
        <w:ind w:left="709" w:hanging="283"/>
        <w:jc w:val="left"/>
        <w:rPr/>
      </w:pPr>
      <w:r>
        <w:rPr/>
        <w:t xml:space="preserve">Email to orders@[supplier].com </w:t>
      </w:r>
    </w:p>
    <w:p>
      <w:pPr>
        <w:pStyle w:val="Textkrper"/>
        <w:numPr>
          <w:ilvl w:val="0"/>
          <w:numId w:val="6"/>
        </w:numPr>
        <w:tabs>
          <w:tab w:val="left" w:pos="709" w:leader="none"/>
        </w:tabs>
        <w:bidi w:val="0"/>
        <w:ind w:left="709" w:hanging="283"/>
        <w:jc w:val="left"/>
        <w:rPr/>
      </w:pPr>
      <w:r>
        <w:rPr/>
        <w:t xml:space="preserve">EDI (Electronic Data Interchange) </w:t>
      </w:r>
    </w:p>
    <w:p>
      <w:pPr>
        <w:pStyle w:val="Berschrift3"/>
        <w:bidi w:val="0"/>
        <w:jc w:val="left"/>
        <w:rPr/>
      </w:pPr>
      <w:bookmarkStart w:id="14" w:name="__RefHeading___Toc133_3153881623"/>
      <w:bookmarkEnd w:id="14"/>
      <w:r>
        <w:rPr/>
        <w:t>5.2 Order Confirmation</w:t>
      </w:r>
    </w:p>
    <w:p>
      <w:pPr>
        <w:pStyle w:val="Textkrper"/>
        <w:bidi w:val="0"/>
        <w:spacing w:lineRule="auto" w:line="276" w:before="0" w:after="140"/>
        <w:jc w:val="left"/>
        <w:rPr/>
      </w:pPr>
      <w:r>
        <w:rPr/>
        <w:t>Supplier will confirm orders within 2 business days, including:</w:t>
      </w:r>
    </w:p>
    <w:p>
      <w:pPr>
        <w:pStyle w:val="Textkrper"/>
        <w:numPr>
          <w:ilvl w:val="0"/>
          <w:numId w:val="7"/>
        </w:numPr>
        <w:tabs>
          <w:tab w:val="left" w:pos="709" w:leader="none"/>
        </w:tabs>
        <w:bidi w:val="0"/>
        <w:spacing w:before="0" w:after="0"/>
        <w:ind w:left="709" w:hanging="283"/>
        <w:jc w:val="left"/>
        <w:rPr/>
      </w:pPr>
      <w:r>
        <w:rPr/>
        <w:t xml:space="preserve">Pricing confirmation </w:t>
      </w:r>
    </w:p>
    <w:p>
      <w:pPr>
        <w:pStyle w:val="Textkrper"/>
        <w:numPr>
          <w:ilvl w:val="0"/>
          <w:numId w:val="7"/>
        </w:numPr>
        <w:tabs>
          <w:tab w:val="left" w:pos="709" w:leader="none"/>
        </w:tabs>
        <w:bidi w:val="0"/>
        <w:spacing w:before="0" w:after="0"/>
        <w:ind w:left="709" w:hanging="283"/>
        <w:jc w:val="left"/>
        <w:rPr/>
      </w:pPr>
      <w:r>
        <w:rPr/>
        <w:t xml:space="preserve">Availability </w:t>
      </w:r>
    </w:p>
    <w:p>
      <w:pPr>
        <w:pStyle w:val="Textkrper"/>
        <w:numPr>
          <w:ilvl w:val="0"/>
          <w:numId w:val="7"/>
        </w:numPr>
        <w:tabs>
          <w:tab w:val="left" w:pos="709" w:leader="none"/>
        </w:tabs>
        <w:bidi w:val="0"/>
        <w:ind w:left="709" w:hanging="283"/>
        <w:jc w:val="left"/>
        <w:rPr/>
      </w:pPr>
      <w:r>
        <w:rPr/>
        <w:t xml:space="preserve">Estimated delivery date </w:t>
      </w:r>
    </w:p>
    <w:p>
      <w:pPr>
        <w:pStyle w:val="Berschrift3"/>
        <w:bidi w:val="0"/>
        <w:jc w:val="left"/>
        <w:rPr/>
      </w:pPr>
      <w:bookmarkStart w:id="15" w:name="__RefHeading___Toc135_3153881623"/>
      <w:bookmarkEnd w:id="15"/>
      <w:r>
        <w:rPr/>
        <w:t>5.3 Minimum Order Quantities (MOQ)</w:t>
      </w:r>
    </w:p>
    <w:p>
      <w:pPr>
        <w:pStyle w:val="Textkrper"/>
        <w:numPr>
          <w:ilvl w:val="0"/>
          <w:numId w:val="8"/>
        </w:numPr>
        <w:tabs>
          <w:tab w:val="left" w:pos="709" w:leader="none"/>
        </w:tabs>
        <w:bidi w:val="0"/>
        <w:spacing w:before="0" w:after="0"/>
        <w:ind w:left="709" w:hanging="283"/>
        <w:jc w:val="left"/>
        <w:rPr/>
      </w:pPr>
      <w:r>
        <w:rPr/>
        <w:t xml:space="preserve">Standard MOQ: $500 per order line </w:t>
      </w:r>
    </w:p>
    <w:p>
      <w:pPr>
        <w:pStyle w:val="Textkrper"/>
        <w:numPr>
          <w:ilvl w:val="0"/>
          <w:numId w:val="8"/>
        </w:numPr>
        <w:tabs>
          <w:tab w:val="left" w:pos="709" w:leader="none"/>
        </w:tabs>
        <w:bidi w:val="0"/>
        <w:ind w:left="709" w:hanging="283"/>
        <w:jc w:val="left"/>
        <w:rPr/>
      </w:pPr>
      <w:r>
        <w:rPr/>
        <w:t xml:space="preserve">Mixed orders accepted above $2,000 total value </w:t>
      </w:r>
    </w:p>
    <w:p>
      <w:pPr>
        <w:pStyle w:val="Berschrift2"/>
        <w:bidi w:val="0"/>
        <w:jc w:val="left"/>
        <w:rPr/>
      </w:pPr>
      <w:bookmarkStart w:id="16" w:name="__RefHeading___Toc137_3153881623"/>
      <w:bookmarkEnd w:id="16"/>
      <w:r>
        <w:rPr/>
        <w:t>6. DELIVERY TERMS</w:t>
      </w:r>
    </w:p>
    <w:p>
      <w:pPr>
        <w:pStyle w:val="Berschrift3"/>
        <w:bidi w:val="0"/>
        <w:jc w:val="left"/>
        <w:rPr/>
      </w:pPr>
      <w:bookmarkStart w:id="17" w:name="__RefHeading___Toc139_3153881623"/>
      <w:bookmarkEnd w:id="17"/>
      <w:r>
        <w:rPr/>
        <w:t>6.1 Incoterms</w:t>
      </w:r>
    </w:p>
    <w:p>
      <w:pPr>
        <w:pStyle w:val="Textkrper"/>
        <w:numPr>
          <w:ilvl w:val="0"/>
          <w:numId w:val="9"/>
        </w:numPr>
        <w:tabs>
          <w:tab w:val="left" w:pos="709" w:leader="none"/>
        </w:tabs>
        <w:bidi w:val="0"/>
        <w:spacing w:before="0" w:after="0"/>
        <w:ind w:left="709" w:hanging="283"/>
        <w:jc w:val="left"/>
        <w:rPr/>
      </w:pPr>
      <w:r>
        <w:rPr>
          <w:rStyle w:val="Strong"/>
        </w:rPr>
        <w:t>EU Customers:</w:t>
      </w:r>
      <w:r>
        <w:rPr/>
        <w:t xml:space="preserve"> DDP (Delivered Duty Paid) to customer facility </w:t>
      </w:r>
    </w:p>
    <w:p>
      <w:pPr>
        <w:pStyle w:val="Textkrper"/>
        <w:numPr>
          <w:ilvl w:val="0"/>
          <w:numId w:val="9"/>
        </w:numPr>
        <w:tabs>
          <w:tab w:val="left" w:pos="709" w:leader="none"/>
        </w:tabs>
        <w:bidi w:val="0"/>
        <w:ind w:left="709" w:hanging="283"/>
        <w:jc w:val="left"/>
        <w:rPr/>
      </w:pPr>
      <w:r>
        <w:rPr>
          <w:rStyle w:val="Strong"/>
        </w:rPr>
        <w:t>US Customers:</w:t>
      </w:r>
      <w:r>
        <w:rPr/>
        <w:t xml:space="preserve"> DAP (Delivered at Place) to customer facility </w:t>
      </w:r>
    </w:p>
    <w:p>
      <w:pPr>
        <w:pStyle w:val="Berschrift3"/>
        <w:bidi w:val="0"/>
        <w:jc w:val="left"/>
        <w:rPr/>
      </w:pPr>
      <w:bookmarkStart w:id="18" w:name="__RefHeading___Toc141_3153881623"/>
      <w:bookmarkEnd w:id="18"/>
      <w:r>
        <w:rPr/>
        <w:t>6.2 Lead Times</w:t>
      </w:r>
    </w:p>
    <w:p>
      <w:pPr>
        <w:pStyle w:val="Textkrper"/>
        <w:numPr>
          <w:ilvl w:val="0"/>
          <w:numId w:val="10"/>
        </w:numPr>
        <w:tabs>
          <w:tab w:val="left" w:pos="709" w:leader="none"/>
        </w:tabs>
        <w:bidi w:val="0"/>
        <w:spacing w:before="0" w:after="0"/>
        <w:ind w:left="709" w:hanging="283"/>
        <w:jc w:val="left"/>
        <w:rPr/>
      </w:pPr>
      <w:r>
        <w:rPr/>
        <w:t xml:space="preserve">Standard components: 2-4 weeks </w:t>
      </w:r>
    </w:p>
    <w:p>
      <w:pPr>
        <w:pStyle w:val="Textkrper"/>
        <w:numPr>
          <w:ilvl w:val="0"/>
          <w:numId w:val="10"/>
        </w:numPr>
        <w:tabs>
          <w:tab w:val="left" w:pos="709" w:leader="none"/>
        </w:tabs>
        <w:bidi w:val="0"/>
        <w:spacing w:before="0" w:after="0"/>
        <w:ind w:left="709" w:hanging="283"/>
        <w:jc w:val="left"/>
        <w:rPr/>
      </w:pPr>
      <w:r>
        <w:rPr/>
        <w:t xml:space="preserve">Long-lead items: 8-16 weeks </w:t>
      </w:r>
    </w:p>
    <w:p>
      <w:pPr>
        <w:pStyle w:val="Textkrper"/>
        <w:numPr>
          <w:ilvl w:val="0"/>
          <w:numId w:val="10"/>
        </w:numPr>
        <w:tabs>
          <w:tab w:val="left" w:pos="709" w:leader="none"/>
        </w:tabs>
        <w:bidi w:val="0"/>
        <w:ind w:left="709" w:hanging="283"/>
        <w:jc w:val="left"/>
        <w:rPr/>
      </w:pPr>
      <w:r>
        <w:rPr/>
        <w:t xml:space="preserve">Custom/special order: As quoted </w:t>
      </w:r>
    </w:p>
    <w:p>
      <w:pPr>
        <w:pStyle w:val="Berschrift3"/>
        <w:bidi w:val="0"/>
        <w:jc w:val="left"/>
        <w:rPr/>
      </w:pPr>
      <w:bookmarkStart w:id="19" w:name="__RefHeading___Toc143_3153881623"/>
      <w:bookmarkEnd w:id="19"/>
      <w:r>
        <w:rPr/>
        <w:t>6.3 Shipping Methods</w:t>
      </w:r>
    </w:p>
    <w:p>
      <w:pPr>
        <w:pStyle w:val="Textkrper"/>
        <w:bidi w:val="0"/>
        <w:spacing w:lineRule="auto" w:line="276" w:before="0" w:after="140"/>
        <w:jc w:val="left"/>
        <w:rPr/>
      </w:pPr>
      <w:r>
        <w:rPr/>
        <w:t>Supplier will use appropriate shipping methods to ensure safe and timely delivery.</w:t>
      </w:r>
    </w:p>
    <w:p>
      <w:pPr>
        <w:pStyle w:val="Berschrift2"/>
        <w:bidi w:val="0"/>
        <w:jc w:val="left"/>
        <w:rPr/>
      </w:pPr>
      <w:bookmarkStart w:id="20" w:name="__RefHeading___Toc145_3153881623"/>
      <w:bookmarkEnd w:id="20"/>
      <w:r>
        <w:rPr/>
        <w:t>7. QUALITY ASSURANCE</w:t>
      </w:r>
    </w:p>
    <w:p>
      <w:pPr>
        <w:pStyle w:val="Berschrift3"/>
        <w:bidi w:val="0"/>
        <w:jc w:val="left"/>
        <w:rPr/>
      </w:pPr>
      <w:bookmarkStart w:id="21" w:name="__RefHeading___Toc147_3153881623"/>
      <w:bookmarkEnd w:id="21"/>
      <w:r>
        <w:rPr/>
        <w:t>7.1 Quality Standards</w:t>
      </w:r>
    </w:p>
    <w:p>
      <w:pPr>
        <w:pStyle w:val="Textkrper"/>
        <w:bidi w:val="0"/>
        <w:spacing w:lineRule="auto" w:line="276" w:before="0" w:after="140"/>
        <w:jc w:val="left"/>
        <w:rPr/>
      </w:pPr>
      <w:r>
        <w:rPr/>
        <w:t>All products shall:</w:t>
      </w:r>
    </w:p>
    <w:p>
      <w:pPr>
        <w:pStyle w:val="Textkrper"/>
        <w:numPr>
          <w:ilvl w:val="0"/>
          <w:numId w:val="11"/>
        </w:numPr>
        <w:tabs>
          <w:tab w:val="left" w:pos="709" w:leader="none"/>
        </w:tabs>
        <w:bidi w:val="0"/>
        <w:spacing w:before="0" w:after="0"/>
        <w:ind w:left="709" w:hanging="283"/>
        <w:jc w:val="left"/>
        <w:rPr/>
      </w:pPr>
      <w:r>
        <w:rPr/>
        <w:t xml:space="preserve">Meet published specifications </w:t>
      </w:r>
    </w:p>
    <w:p>
      <w:pPr>
        <w:pStyle w:val="Textkrper"/>
        <w:numPr>
          <w:ilvl w:val="0"/>
          <w:numId w:val="11"/>
        </w:numPr>
        <w:tabs>
          <w:tab w:val="left" w:pos="709" w:leader="none"/>
        </w:tabs>
        <w:bidi w:val="0"/>
        <w:spacing w:before="0" w:after="0"/>
        <w:ind w:left="709" w:hanging="283"/>
        <w:jc w:val="left"/>
        <w:rPr/>
      </w:pPr>
      <w:r>
        <w:rPr/>
        <w:t xml:space="preserve">Comply with RoHS, REACH (EU), and applicable regulations </w:t>
      </w:r>
    </w:p>
    <w:p>
      <w:pPr>
        <w:pStyle w:val="Textkrper"/>
        <w:numPr>
          <w:ilvl w:val="0"/>
          <w:numId w:val="11"/>
        </w:numPr>
        <w:tabs>
          <w:tab w:val="left" w:pos="709" w:leader="none"/>
        </w:tabs>
        <w:bidi w:val="0"/>
        <w:ind w:left="709" w:hanging="283"/>
        <w:jc w:val="left"/>
        <w:rPr/>
      </w:pPr>
      <w:r>
        <w:rPr/>
        <w:t xml:space="preserve">Include manufacturer's certificates of compliance </w:t>
      </w:r>
    </w:p>
    <w:p>
      <w:pPr>
        <w:pStyle w:val="Berschrift3"/>
        <w:bidi w:val="0"/>
        <w:jc w:val="left"/>
        <w:rPr/>
      </w:pPr>
      <w:bookmarkStart w:id="22" w:name="__RefHeading___Toc149_3153881623"/>
      <w:bookmarkEnd w:id="22"/>
      <w:r>
        <w:rPr/>
        <w:t>7.2 Warranty</w:t>
      </w:r>
    </w:p>
    <w:p>
      <w:pPr>
        <w:pStyle w:val="Textkrper"/>
        <w:numPr>
          <w:ilvl w:val="0"/>
          <w:numId w:val="12"/>
        </w:numPr>
        <w:tabs>
          <w:tab w:val="left" w:pos="709" w:leader="none"/>
        </w:tabs>
        <w:bidi w:val="0"/>
        <w:spacing w:before="0" w:after="0"/>
        <w:ind w:left="709" w:hanging="283"/>
        <w:jc w:val="left"/>
        <w:rPr/>
      </w:pPr>
      <w:r>
        <w:rPr/>
        <w:t xml:space="preserve">Standard warranty: 12 months from delivery date </w:t>
      </w:r>
    </w:p>
    <w:p>
      <w:pPr>
        <w:pStyle w:val="Textkrper"/>
        <w:numPr>
          <w:ilvl w:val="0"/>
          <w:numId w:val="12"/>
        </w:numPr>
        <w:tabs>
          <w:tab w:val="left" w:pos="709" w:leader="none"/>
        </w:tabs>
        <w:bidi w:val="0"/>
        <w:spacing w:before="0" w:after="0"/>
        <w:ind w:left="709" w:hanging="283"/>
        <w:jc w:val="left"/>
        <w:rPr/>
      </w:pPr>
      <w:r>
        <w:rPr/>
        <w:t xml:space="preserve">Defect rate target: &lt; 0.1% </w:t>
      </w:r>
    </w:p>
    <w:p>
      <w:pPr>
        <w:pStyle w:val="Textkrper"/>
        <w:numPr>
          <w:ilvl w:val="0"/>
          <w:numId w:val="12"/>
        </w:numPr>
        <w:tabs>
          <w:tab w:val="left" w:pos="709" w:leader="none"/>
        </w:tabs>
        <w:bidi w:val="0"/>
        <w:ind w:left="709" w:hanging="283"/>
        <w:jc w:val="left"/>
        <w:rPr/>
      </w:pPr>
      <w:r>
        <w:rPr/>
        <w:t xml:space="preserve">Supplier will replace defective components at no charge </w:t>
      </w:r>
    </w:p>
    <w:p>
      <w:pPr>
        <w:pStyle w:val="Berschrift2"/>
        <w:bidi w:val="0"/>
        <w:jc w:val="left"/>
        <w:rPr/>
      </w:pPr>
      <w:bookmarkStart w:id="23" w:name="__RefHeading___Toc151_3153881623"/>
      <w:bookmarkEnd w:id="23"/>
      <w:r>
        <w:rPr/>
        <w:t>8. PAYMENT TERMS</w:t>
      </w:r>
    </w:p>
    <w:p>
      <w:pPr>
        <w:pStyle w:val="Berschrift3"/>
        <w:bidi w:val="0"/>
        <w:jc w:val="left"/>
        <w:rPr/>
      </w:pPr>
      <w:bookmarkStart w:id="24" w:name="__RefHeading___Toc153_3153881623"/>
      <w:bookmarkEnd w:id="24"/>
      <w:r>
        <w:rPr/>
        <w:t>8.1 Currency</w:t>
      </w:r>
    </w:p>
    <w:p>
      <w:pPr>
        <w:pStyle w:val="Textkrper"/>
        <w:numPr>
          <w:ilvl w:val="0"/>
          <w:numId w:val="13"/>
        </w:numPr>
        <w:tabs>
          <w:tab w:val="left" w:pos="709" w:leader="none"/>
        </w:tabs>
        <w:bidi w:val="0"/>
        <w:spacing w:before="0" w:after="0"/>
        <w:ind w:left="709" w:hanging="283"/>
        <w:jc w:val="left"/>
        <w:rPr/>
      </w:pPr>
      <w:r>
        <w:rPr/>
        <w:t xml:space="preserve">EU Region: EUR (Euro) </w:t>
      </w:r>
    </w:p>
    <w:p>
      <w:pPr>
        <w:pStyle w:val="Textkrper"/>
        <w:numPr>
          <w:ilvl w:val="0"/>
          <w:numId w:val="13"/>
        </w:numPr>
        <w:tabs>
          <w:tab w:val="left" w:pos="709" w:leader="none"/>
        </w:tabs>
        <w:bidi w:val="0"/>
        <w:ind w:left="709" w:hanging="283"/>
        <w:jc w:val="left"/>
        <w:rPr/>
      </w:pPr>
      <w:r>
        <w:rPr/>
        <w:t xml:space="preserve">US Region: USD (US Dollar) </w:t>
      </w:r>
    </w:p>
    <w:p>
      <w:pPr>
        <w:pStyle w:val="Berschrift3"/>
        <w:bidi w:val="0"/>
        <w:jc w:val="left"/>
        <w:rPr/>
      </w:pPr>
      <w:bookmarkStart w:id="25" w:name="__RefHeading___Toc155_3153881623"/>
      <w:bookmarkEnd w:id="25"/>
      <w:r>
        <w:rPr/>
        <w:t>8.2 Payment Method</w:t>
      </w:r>
    </w:p>
    <w:p>
      <w:pPr>
        <w:pStyle w:val="Textkrper"/>
        <w:numPr>
          <w:ilvl w:val="0"/>
          <w:numId w:val="14"/>
        </w:numPr>
        <w:tabs>
          <w:tab w:val="left" w:pos="709" w:leader="none"/>
        </w:tabs>
        <w:bidi w:val="0"/>
        <w:spacing w:before="0" w:after="0"/>
        <w:ind w:left="709" w:hanging="283"/>
        <w:jc w:val="left"/>
        <w:rPr/>
      </w:pPr>
      <w:r>
        <w:rPr/>
        <w:t xml:space="preserve">Bank transfer </w:t>
      </w:r>
    </w:p>
    <w:p>
      <w:pPr>
        <w:pStyle w:val="Textkrper"/>
        <w:numPr>
          <w:ilvl w:val="0"/>
          <w:numId w:val="14"/>
        </w:numPr>
        <w:tabs>
          <w:tab w:val="left" w:pos="709" w:leader="none"/>
        </w:tabs>
        <w:bidi w:val="0"/>
        <w:spacing w:before="0" w:after="0"/>
        <w:ind w:left="709" w:hanging="283"/>
        <w:jc w:val="left"/>
        <w:rPr/>
      </w:pPr>
      <w:r>
        <w:rPr/>
        <w:t xml:space="preserve">Credit terms as specified in discount structure </w:t>
      </w:r>
    </w:p>
    <w:p>
      <w:pPr>
        <w:pStyle w:val="Textkrper"/>
        <w:numPr>
          <w:ilvl w:val="0"/>
          <w:numId w:val="14"/>
        </w:numPr>
        <w:tabs>
          <w:tab w:val="left" w:pos="709" w:leader="none"/>
        </w:tabs>
        <w:bidi w:val="0"/>
        <w:ind w:left="709" w:hanging="283"/>
        <w:jc w:val="left"/>
        <w:rPr/>
      </w:pPr>
      <w:r>
        <w:rPr/>
        <w:t xml:space="preserve">Late payment interest: [X]% per annum </w:t>
      </w:r>
    </w:p>
    <w:p>
      <w:pPr>
        <w:pStyle w:val="Berschrift3"/>
        <w:bidi w:val="0"/>
        <w:jc w:val="left"/>
        <w:rPr/>
      </w:pPr>
      <w:bookmarkStart w:id="26" w:name="__RefHeading___Toc157_3153881623"/>
      <w:bookmarkEnd w:id="26"/>
      <w:r>
        <w:rPr/>
        <w:t>8.3 Credit Limit</w:t>
      </w:r>
    </w:p>
    <w:p>
      <w:pPr>
        <w:pStyle w:val="Textkrper"/>
        <w:bidi w:val="0"/>
        <w:spacing w:lineRule="auto" w:line="276" w:before="0" w:after="140"/>
        <w:jc w:val="left"/>
        <w:rPr/>
      </w:pPr>
      <w:r>
        <w:rPr/>
        <w:t>A credit limit of [AMOUNT] is established, subject to periodic review.</w:t>
      </w:r>
    </w:p>
    <w:p>
      <w:pPr>
        <w:pStyle w:val="Berschrift2"/>
        <w:bidi w:val="0"/>
        <w:jc w:val="left"/>
        <w:rPr/>
      </w:pPr>
      <w:bookmarkStart w:id="27" w:name="__RefHeading___Toc159_3153881623"/>
      <w:bookmarkEnd w:id="27"/>
      <w:r>
        <w:rPr/>
        <w:t>9. INTELLECTUAL PROPERTY</w:t>
      </w:r>
    </w:p>
    <w:p>
      <w:pPr>
        <w:pStyle w:val="Textkrper"/>
        <w:bidi w:val="0"/>
        <w:spacing w:lineRule="auto" w:line="276" w:before="0" w:after="140"/>
        <w:jc w:val="left"/>
        <w:rPr/>
      </w:pPr>
      <w:r>
        <w:rPr/>
        <w:t>All intellectual property rights in supplied products remain with the respective manufacturers/suppliers.</w:t>
      </w:r>
    </w:p>
    <w:p>
      <w:pPr>
        <w:pStyle w:val="Berschrift2"/>
        <w:bidi w:val="0"/>
        <w:jc w:val="left"/>
        <w:rPr/>
      </w:pPr>
      <w:bookmarkStart w:id="28" w:name="__RefHeading___Toc161_3153881623"/>
      <w:bookmarkEnd w:id="28"/>
      <w:r>
        <w:rPr/>
        <w:t>10. CONFIDENTIALITY</w:t>
      </w:r>
    </w:p>
    <w:p>
      <w:pPr>
        <w:pStyle w:val="Textkrper"/>
        <w:bidi w:val="0"/>
        <w:spacing w:lineRule="auto" w:line="276" w:before="0" w:after="140"/>
        <w:jc w:val="left"/>
        <w:rPr/>
      </w:pPr>
      <w:r>
        <w:rPr/>
        <w:t>Both parties agree to maintain confidentiality of:</w:t>
      </w:r>
    </w:p>
    <w:p>
      <w:pPr>
        <w:pStyle w:val="Textkrper"/>
        <w:numPr>
          <w:ilvl w:val="0"/>
          <w:numId w:val="15"/>
        </w:numPr>
        <w:tabs>
          <w:tab w:val="left" w:pos="709" w:leader="none"/>
        </w:tabs>
        <w:bidi w:val="0"/>
        <w:spacing w:before="0" w:after="0"/>
        <w:ind w:left="709" w:hanging="283"/>
        <w:jc w:val="left"/>
        <w:rPr/>
      </w:pPr>
      <w:r>
        <w:rPr/>
        <w:t xml:space="preserve">Pricing information </w:t>
      </w:r>
    </w:p>
    <w:p>
      <w:pPr>
        <w:pStyle w:val="Textkrper"/>
        <w:numPr>
          <w:ilvl w:val="0"/>
          <w:numId w:val="15"/>
        </w:numPr>
        <w:tabs>
          <w:tab w:val="left" w:pos="709" w:leader="none"/>
        </w:tabs>
        <w:bidi w:val="0"/>
        <w:spacing w:before="0" w:after="0"/>
        <w:ind w:left="709" w:hanging="283"/>
        <w:jc w:val="left"/>
        <w:rPr/>
      </w:pPr>
      <w:r>
        <w:rPr/>
        <w:t xml:space="preserve">Technical specifications </w:t>
      </w:r>
    </w:p>
    <w:p>
      <w:pPr>
        <w:pStyle w:val="Textkrper"/>
        <w:numPr>
          <w:ilvl w:val="0"/>
          <w:numId w:val="15"/>
        </w:numPr>
        <w:tabs>
          <w:tab w:val="left" w:pos="709" w:leader="none"/>
        </w:tabs>
        <w:bidi w:val="0"/>
        <w:spacing w:before="0" w:after="0"/>
        <w:ind w:left="709" w:hanging="283"/>
        <w:jc w:val="left"/>
        <w:rPr/>
      </w:pPr>
      <w:r>
        <w:rPr/>
        <w:t xml:space="preserve">Business strategies </w:t>
      </w:r>
    </w:p>
    <w:p>
      <w:pPr>
        <w:pStyle w:val="Textkrper"/>
        <w:numPr>
          <w:ilvl w:val="0"/>
          <w:numId w:val="15"/>
        </w:numPr>
        <w:tabs>
          <w:tab w:val="left" w:pos="709" w:leader="none"/>
        </w:tabs>
        <w:bidi w:val="0"/>
        <w:ind w:left="709" w:hanging="283"/>
        <w:jc w:val="left"/>
        <w:rPr/>
      </w:pPr>
      <w:r>
        <w:rPr/>
        <w:t xml:space="preserve">Customer information </w:t>
      </w:r>
    </w:p>
    <w:p>
      <w:pPr>
        <w:pStyle w:val="Textkrper"/>
        <w:bidi w:val="0"/>
        <w:jc w:val="left"/>
        <w:rPr/>
      </w:pPr>
      <w:r>
        <w:rPr/>
        <w:t>Confidentiality obligations shall survive termination for 3 years.</w:t>
      </w:r>
    </w:p>
    <w:p>
      <w:pPr>
        <w:pStyle w:val="Berschrift2"/>
        <w:bidi w:val="0"/>
        <w:jc w:val="left"/>
        <w:rPr/>
      </w:pPr>
      <w:bookmarkStart w:id="29" w:name="__RefHeading___Toc163_3153881623"/>
      <w:bookmarkEnd w:id="29"/>
      <w:r>
        <w:rPr/>
        <w:t>11. COMPLIANCE</w:t>
      </w:r>
    </w:p>
    <w:p>
      <w:pPr>
        <w:pStyle w:val="Berschrift3"/>
        <w:bidi w:val="0"/>
        <w:jc w:val="left"/>
        <w:rPr/>
      </w:pPr>
      <w:bookmarkStart w:id="30" w:name="__RefHeading___Toc165_3153881623"/>
      <w:bookmarkEnd w:id="30"/>
      <w:r>
        <w:rPr/>
        <w:t>11.1 Export Controls</w:t>
      </w:r>
    </w:p>
    <w:p>
      <w:pPr>
        <w:pStyle w:val="Textkrper"/>
        <w:bidi w:val="0"/>
        <w:spacing w:lineRule="auto" w:line="276" w:before="0" w:after="140"/>
        <w:jc w:val="left"/>
        <w:rPr/>
      </w:pPr>
      <w:r>
        <w:rPr/>
        <w:t>Customer agrees to comply with all applicable export control regulations.</w:t>
      </w:r>
    </w:p>
    <w:p>
      <w:pPr>
        <w:pStyle w:val="Berschrift3"/>
        <w:bidi w:val="0"/>
        <w:jc w:val="left"/>
        <w:rPr/>
      </w:pPr>
      <w:bookmarkStart w:id="31" w:name="__RefHeading___Toc167_3153881623"/>
      <w:bookmarkEnd w:id="31"/>
      <w:r>
        <w:rPr/>
        <w:t>11.2 Anti-Corruption</w:t>
      </w:r>
    </w:p>
    <w:p>
      <w:pPr>
        <w:pStyle w:val="Textkrper"/>
        <w:bidi w:val="0"/>
        <w:spacing w:lineRule="auto" w:line="276" w:before="0" w:after="140"/>
        <w:jc w:val="left"/>
        <w:rPr/>
      </w:pPr>
      <w:r>
        <w:rPr/>
        <w:t>Both parties commit to compliance with anti-bribery and anti-corruption laws.</w:t>
      </w:r>
    </w:p>
    <w:p>
      <w:pPr>
        <w:pStyle w:val="Berschrift3"/>
        <w:bidi w:val="0"/>
        <w:jc w:val="left"/>
        <w:rPr/>
      </w:pPr>
      <w:bookmarkStart w:id="32" w:name="__RefHeading___Toc169_3153881623"/>
      <w:bookmarkEnd w:id="32"/>
      <w:r>
        <w:rPr/>
        <w:t>11.3 Data Protection</w:t>
      </w:r>
    </w:p>
    <w:p>
      <w:pPr>
        <w:pStyle w:val="Textkrper"/>
        <w:bidi w:val="0"/>
        <w:spacing w:lineRule="auto" w:line="276" w:before="0" w:after="140"/>
        <w:jc w:val="left"/>
        <w:rPr/>
      </w:pPr>
      <w:r>
        <w:rPr/>
        <w:t>Both parties shall comply with GDPR (EU) and applicable data protection regulations.</w:t>
      </w:r>
    </w:p>
    <w:p>
      <w:pPr>
        <w:pStyle w:val="Berschrift2"/>
        <w:bidi w:val="0"/>
        <w:jc w:val="left"/>
        <w:rPr/>
      </w:pPr>
      <w:bookmarkStart w:id="33" w:name="__RefHeading___Toc171_3153881623"/>
      <w:bookmarkEnd w:id="33"/>
      <w:r>
        <w:rPr/>
        <w:t>12. LIABILITY AND INDEMNIFICATION</w:t>
      </w:r>
    </w:p>
    <w:p>
      <w:pPr>
        <w:pStyle w:val="Berschrift3"/>
        <w:bidi w:val="0"/>
        <w:jc w:val="left"/>
        <w:rPr/>
      </w:pPr>
      <w:bookmarkStart w:id="34" w:name="__RefHeading___Toc173_3153881623"/>
      <w:bookmarkEnd w:id="34"/>
      <w:r>
        <w:rPr/>
        <w:t>12.1 Limitation of Liability</w:t>
      </w:r>
    </w:p>
    <w:p>
      <w:pPr>
        <w:pStyle w:val="Textkrper"/>
        <w:bidi w:val="0"/>
        <w:spacing w:lineRule="auto" w:line="276" w:before="0" w:after="140"/>
        <w:jc w:val="left"/>
        <w:rPr/>
      </w:pPr>
      <w:r>
        <w:rPr/>
        <w:t>Supplier's liability is limited to the value of the specific order, except in cases of gross negligence or willful misconduct.</w:t>
      </w:r>
    </w:p>
    <w:p>
      <w:pPr>
        <w:pStyle w:val="Berschrift3"/>
        <w:bidi w:val="0"/>
        <w:jc w:val="left"/>
        <w:rPr/>
      </w:pPr>
      <w:bookmarkStart w:id="35" w:name="__RefHeading___Toc175_3153881623"/>
      <w:bookmarkEnd w:id="35"/>
      <w:r>
        <w:rPr/>
        <w:t>12.2 Product Liability</w:t>
      </w:r>
    </w:p>
    <w:p>
      <w:pPr>
        <w:pStyle w:val="Textkrper"/>
        <w:bidi w:val="0"/>
        <w:spacing w:lineRule="auto" w:line="276" w:before="0" w:after="140"/>
        <w:jc w:val="left"/>
        <w:rPr/>
      </w:pPr>
      <w:r>
        <w:rPr/>
        <w:t>Supplier maintains product liability insurance of [AMOUNT].</w:t>
      </w:r>
    </w:p>
    <w:p>
      <w:pPr>
        <w:pStyle w:val="Berschrift2"/>
        <w:bidi w:val="0"/>
        <w:jc w:val="left"/>
        <w:rPr/>
      </w:pPr>
      <w:bookmarkStart w:id="36" w:name="__RefHeading___Toc177_3153881623"/>
      <w:bookmarkEnd w:id="36"/>
      <w:r>
        <w:rPr/>
        <w:t>13. FORCE MAJEURE</w:t>
      </w:r>
    </w:p>
    <w:p>
      <w:pPr>
        <w:pStyle w:val="Textkrper"/>
        <w:bidi w:val="0"/>
        <w:spacing w:lineRule="auto" w:line="276" w:before="0" w:after="140"/>
        <w:jc w:val="left"/>
        <w:rPr/>
      </w:pPr>
      <w:r>
        <w:rPr/>
        <w:t>Neither party shall be liable for failure to perform due to circumstances beyond reasonable control, including natural disasters, war, strikes, or supply chain disruptions.</w:t>
      </w:r>
    </w:p>
    <w:p>
      <w:pPr>
        <w:pStyle w:val="Berschrift2"/>
        <w:bidi w:val="0"/>
        <w:jc w:val="left"/>
        <w:rPr/>
      </w:pPr>
      <w:bookmarkStart w:id="37" w:name="__RefHeading___Toc179_3153881623"/>
      <w:bookmarkEnd w:id="37"/>
      <w:r>
        <w:rPr/>
        <w:t>14. DISPUTE RESOLUTION</w:t>
      </w:r>
    </w:p>
    <w:p>
      <w:pPr>
        <w:pStyle w:val="Berschrift3"/>
        <w:bidi w:val="0"/>
        <w:jc w:val="left"/>
        <w:rPr/>
      </w:pPr>
      <w:bookmarkStart w:id="38" w:name="__RefHeading___Toc181_3153881623"/>
      <w:bookmarkEnd w:id="38"/>
      <w:r>
        <w:rPr/>
        <w:t>14.1 Governing Law</w:t>
      </w:r>
    </w:p>
    <w:p>
      <w:pPr>
        <w:pStyle w:val="Textkrper"/>
        <w:numPr>
          <w:ilvl w:val="0"/>
          <w:numId w:val="16"/>
        </w:numPr>
        <w:tabs>
          <w:tab w:val="left" w:pos="709" w:leader="none"/>
        </w:tabs>
        <w:bidi w:val="0"/>
        <w:spacing w:before="0" w:after="0"/>
        <w:ind w:left="709" w:hanging="283"/>
        <w:jc w:val="left"/>
        <w:rPr/>
      </w:pPr>
      <w:r>
        <w:rPr>
          <w:rStyle w:val="Strong"/>
        </w:rPr>
        <w:t>EU Customers:</w:t>
      </w:r>
      <w:r>
        <w:rPr/>
        <w:t xml:space="preserve"> Laws of [Country/EU Member State] </w:t>
      </w:r>
    </w:p>
    <w:p>
      <w:pPr>
        <w:pStyle w:val="Textkrper"/>
        <w:numPr>
          <w:ilvl w:val="0"/>
          <w:numId w:val="16"/>
        </w:numPr>
        <w:tabs>
          <w:tab w:val="left" w:pos="709" w:leader="none"/>
        </w:tabs>
        <w:bidi w:val="0"/>
        <w:ind w:left="709" w:hanging="283"/>
        <w:jc w:val="left"/>
        <w:rPr/>
      </w:pPr>
      <w:r>
        <w:rPr>
          <w:rStyle w:val="Strong"/>
        </w:rPr>
        <w:t>US Customers:</w:t>
      </w:r>
      <w:r>
        <w:rPr/>
        <w:t xml:space="preserve"> Laws of [State], United States </w:t>
      </w:r>
    </w:p>
    <w:p>
      <w:pPr>
        <w:pStyle w:val="Berschrift3"/>
        <w:bidi w:val="0"/>
        <w:jc w:val="left"/>
        <w:rPr/>
      </w:pPr>
      <w:bookmarkStart w:id="39" w:name="__RefHeading___Toc183_3153881623"/>
      <w:bookmarkEnd w:id="39"/>
      <w:r>
        <w:rPr/>
        <w:t>14.2 Dispute Resolution Process</w:t>
      </w:r>
    </w:p>
    <w:p>
      <w:pPr>
        <w:pStyle w:val="Textkrper"/>
        <w:numPr>
          <w:ilvl w:val="0"/>
          <w:numId w:val="17"/>
        </w:numPr>
        <w:tabs>
          <w:tab w:val="left" w:pos="709" w:leader="none"/>
        </w:tabs>
        <w:bidi w:val="0"/>
        <w:spacing w:before="0" w:after="0"/>
        <w:ind w:left="709" w:hanging="283"/>
        <w:jc w:val="left"/>
        <w:rPr/>
      </w:pPr>
      <w:r>
        <w:rPr/>
        <w:t xml:space="preserve">Good faith negotiations </w:t>
      </w:r>
    </w:p>
    <w:p>
      <w:pPr>
        <w:pStyle w:val="Textkrper"/>
        <w:numPr>
          <w:ilvl w:val="0"/>
          <w:numId w:val="17"/>
        </w:numPr>
        <w:tabs>
          <w:tab w:val="left" w:pos="709" w:leader="none"/>
        </w:tabs>
        <w:bidi w:val="0"/>
        <w:spacing w:before="0" w:after="0"/>
        <w:ind w:left="709" w:hanging="283"/>
        <w:jc w:val="left"/>
        <w:rPr/>
      </w:pPr>
      <w:r>
        <w:rPr/>
        <w:t xml:space="preserve">Mediation </w:t>
      </w:r>
    </w:p>
    <w:p>
      <w:pPr>
        <w:pStyle w:val="Textkrper"/>
        <w:numPr>
          <w:ilvl w:val="0"/>
          <w:numId w:val="17"/>
        </w:numPr>
        <w:tabs>
          <w:tab w:val="left" w:pos="709" w:leader="none"/>
        </w:tabs>
        <w:bidi w:val="0"/>
        <w:ind w:left="709" w:hanging="283"/>
        <w:jc w:val="left"/>
        <w:rPr/>
      </w:pPr>
      <w:r>
        <w:rPr/>
        <w:t xml:space="preserve">Arbitration or court proceedings as applicable </w:t>
      </w:r>
    </w:p>
    <w:p>
      <w:pPr>
        <w:pStyle w:val="Berschrift2"/>
        <w:bidi w:val="0"/>
        <w:jc w:val="left"/>
        <w:rPr/>
      </w:pPr>
      <w:bookmarkStart w:id="40" w:name="__RefHeading___Toc185_3153881623"/>
      <w:bookmarkEnd w:id="40"/>
      <w:r>
        <w:rPr/>
        <w:t>15. MISCELLANEOUS</w:t>
      </w:r>
    </w:p>
    <w:p>
      <w:pPr>
        <w:pStyle w:val="Berschrift3"/>
        <w:bidi w:val="0"/>
        <w:jc w:val="left"/>
        <w:rPr/>
      </w:pPr>
      <w:bookmarkStart w:id="41" w:name="__RefHeading___Toc187_3153881623"/>
      <w:bookmarkEnd w:id="41"/>
      <w:r>
        <w:rPr/>
        <w:t>15.1 Amendment</w:t>
      </w:r>
    </w:p>
    <w:p>
      <w:pPr>
        <w:pStyle w:val="Textkrper"/>
        <w:bidi w:val="0"/>
        <w:spacing w:lineRule="auto" w:line="276" w:before="0" w:after="140"/>
        <w:jc w:val="left"/>
        <w:rPr/>
      </w:pPr>
      <w:r>
        <w:rPr/>
        <w:t>This Agreement may only be amended in writing signed by both parties.</w:t>
      </w:r>
    </w:p>
    <w:p>
      <w:pPr>
        <w:pStyle w:val="Berschrift3"/>
        <w:bidi w:val="0"/>
        <w:jc w:val="left"/>
        <w:rPr/>
      </w:pPr>
      <w:bookmarkStart w:id="42" w:name="__RefHeading___Toc189_3153881623"/>
      <w:bookmarkEnd w:id="42"/>
      <w:r>
        <w:rPr/>
        <w:t>15.2 Assignment</w:t>
      </w:r>
    </w:p>
    <w:p>
      <w:pPr>
        <w:pStyle w:val="Textkrper"/>
        <w:bidi w:val="0"/>
        <w:spacing w:lineRule="auto" w:line="276" w:before="0" w:after="140"/>
        <w:jc w:val="left"/>
        <w:rPr/>
      </w:pPr>
      <w:r>
        <w:rPr/>
        <w:t>Neither party may assign this Agreement without prior written consent.</w:t>
      </w:r>
    </w:p>
    <w:p>
      <w:pPr>
        <w:pStyle w:val="Berschrift3"/>
        <w:bidi w:val="0"/>
        <w:jc w:val="left"/>
        <w:rPr/>
      </w:pPr>
      <w:bookmarkStart w:id="43" w:name="__RefHeading___Toc191_3153881623"/>
      <w:bookmarkEnd w:id="43"/>
      <w:r>
        <w:rPr/>
        <w:t>15.3 Entire Agreement</w:t>
      </w:r>
    </w:p>
    <w:p>
      <w:pPr>
        <w:pStyle w:val="Textkrper"/>
        <w:bidi w:val="0"/>
        <w:spacing w:lineRule="auto" w:line="276" w:before="0" w:after="140"/>
        <w:jc w:val="left"/>
        <w:rPr/>
      </w:pPr>
      <w:r>
        <w:rPr/>
        <w:t>This Agreement constitutes the entire agreement between the parties.</w:t>
      </w:r>
    </w:p>
    <w:p>
      <w:pPr>
        <w:pStyle w:val="Berschrift3"/>
        <w:bidi w:val="0"/>
        <w:jc w:val="left"/>
        <w:rPr/>
      </w:pPr>
      <w:bookmarkStart w:id="44" w:name="__RefHeading___Toc193_3153881623"/>
      <w:bookmarkEnd w:id="44"/>
      <w:r>
        <w:rPr/>
        <w:t>15.4 Notices</w:t>
      </w:r>
    </w:p>
    <w:p>
      <w:pPr>
        <w:pStyle w:val="Textkrper"/>
        <w:bidi w:val="0"/>
        <w:spacing w:lineRule="auto" w:line="276" w:before="0" w:after="140"/>
        <w:jc w:val="left"/>
        <w:rPr/>
      </w:pPr>
      <w:r>
        <w:rPr/>
        <w:t>All notices must be sent to the addresses listed above or as updated in writing.</w:t>
      </w:r>
    </w:p>
    <w:p>
      <w:pPr>
        <w:pStyle w:val="Berschrift2"/>
        <w:bidi w:val="0"/>
        <w:jc w:val="left"/>
        <w:rPr/>
      </w:pPr>
      <w:bookmarkStart w:id="45" w:name="__RefHeading___Toc195_3153881623"/>
      <w:bookmarkEnd w:id="45"/>
      <w:r>
        <w:rPr/>
        <w:t>SIGNATURES</w:t>
      </w:r>
    </w:p>
    <w:p>
      <w:pPr>
        <w:pStyle w:val="Textkrper"/>
        <w:bidi w:val="0"/>
        <w:spacing w:lineRule="auto" w:line="276" w:before="0" w:after="140"/>
        <w:jc w:val="left"/>
        <w:rPr/>
      </w:pPr>
      <w:r>
        <w:rPr>
          <w:rStyle w:val="Strong"/>
        </w:rPr>
        <w:t>SUPPLIER:</w:t>
      </w:r>
    </w:p>
    <w:p>
      <w:pPr>
        <w:pStyle w:val="Textkrper"/>
        <w:bidi w:val="0"/>
        <w:spacing w:lineRule="auto" w:line="276" w:before="0" w:after="140"/>
        <w:jc w:val="left"/>
        <w:rPr/>
      </w:pPr>
      <w:r>
        <w:rPr/>
        <w:t>Signature: ___________________________</w:t>
        <w:br/>
        <w:t>Name: ___________________________</w:t>
        <w:br/>
        <w:t>Title: ___________________________</w:t>
        <w:br/>
        <w:t>Date: ___________________________</w:t>
      </w:r>
    </w:p>
    <w:p>
      <w:pPr>
        <w:pStyle w:val="Textkrper"/>
        <w:bidi w:val="0"/>
        <w:spacing w:lineRule="auto" w:line="276" w:before="0" w:after="140"/>
        <w:jc w:val="left"/>
        <w:rPr/>
      </w:pPr>
      <w:r>
        <w:rPr>
          <w:rStyle w:val="Strong"/>
        </w:rPr>
        <w:t>CUSTOMER:</w:t>
      </w:r>
    </w:p>
    <w:p>
      <w:pPr>
        <w:pStyle w:val="Textkrper"/>
        <w:bidi w:val="0"/>
        <w:spacing w:lineRule="auto" w:line="276" w:before="0" w:after="140"/>
        <w:jc w:val="left"/>
        <w:rPr/>
      </w:pPr>
      <w:r>
        <w:rPr/>
        <w:t>Signature: ___________________________</w:t>
        <w:br/>
        <w:t>Name: ___________________________</w:t>
        <w:br/>
        <w:t>Title: ___________________________</w:t>
        <w:br/>
        <w:t>Date: ___________________________</w:t>
      </w:r>
    </w:p>
    <w:p>
      <w:pPr>
        <w:pStyle w:val="HorizontaleLinie"/>
        <w:suppressLineNumbers/>
        <w:pBdr>
          <w:bottom w:val="double" w:sz="2" w:space="0" w:color="808080"/>
        </w:pBdr>
        <w:bidi w:val="0"/>
        <w:spacing w:before="0" w:after="283"/>
        <w:jc w:val="left"/>
        <w:rPr/>
      </w:pPr>
      <w:r>
        <w:rPr/>
      </w:r>
    </w:p>
    <w:p>
      <w:pPr>
        <w:pStyle w:val="Textkrper"/>
        <w:bidi w:val="0"/>
        <w:spacing w:lineRule="auto" w:line="276" w:before="0" w:after="140"/>
        <w:jc w:val="left"/>
        <w:rPr/>
      </w:pPr>
      <w:r>
        <w:rPr>
          <w:rStyle w:val="Strong"/>
        </w:rPr>
        <w:t>Appendices:</w:t>
      </w:r>
    </w:p>
    <w:p>
      <w:pPr>
        <w:pStyle w:val="Textkrper"/>
        <w:numPr>
          <w:ilvl w:val="0"/>
          <w:numId w:val="18"/>
        </w:numPr>
        <w:tabs>
          <w:tab w:val="left" w:pos="709" w:leader="none"/>
        </w:tabs>
        <w:bidi w:val="0"/>
        <w:spacing w:before="0" w:after="0"/>
        <w:ind w:left="709" w:hanging="283"/>
        <w:jc w:val="left"/>
        <w:rPr/>
      </w:pPr>
      <w:r>
        <w:rPr/>
        <w:t xml:space="preserve">Appendix A: Product List and Specifications </w:t>
      </w:r>
    </w:p>
    <w:p>
      <w:pPr>
        <w:pStyle w:val="Textkrper"/>
        <w:numPr>
          <w:ilvl w:val="0"/>
          <w:numId w:val="18"/>
        </w:numPr>
        <w:tabs>
          <w:tab w:val="left" w:pos="709" w:leader="none"/>
        </w:tabs>
        <w:bidi w:val="0"/>
        <w:spacing w:before="0" w:after="0"/>
        <w:ind w:left="709" w:hanging="283"/>
        <w:jc w:val="left"/>
        <w:rPr/>
      </w:pPr>
      <w:r>
        <w:rPr/>
        <w:t xml:space="preserve">Appendix B: Approved Purchase Order Form </w:t>
      </w:r>
    </w:p>
    <w:p>
      <w:pPr>
        <w:pStyle w:val="Textkrper"/>
        <w:numPr>
          <w:ilvl w:val="0"/>
          <w:numId w:val="18"/>
        </w:numPr>
        <w:tabs>
          <w:tab w:val="left" w:pos="709" w:leader="none"/>
        </w:tabs>
        <w:bidi w:val="0"/>
        <w:spacing w:before="0" w:after="0"/>
        <w:ind w:left="709" w:hanging="283"/>
        <w:jc w:val="left"/>
        <w:rPr/>
      </w:pPr>
      <w:r>
        <w:rPr/>
        <w:t xml:space="preserve">Appendix C: Quality Standards and Testing Procedures </w:t>
      </w:r>
    </w:p>
    <w:p>
      <w:pPr>
        <w:pStyle w:val="Textkrper"/>
        <w:numPr>
          <w:ilvl w:val="0"/>
          <w:numId w:val="18"/>
        </w:numPr>
        <w:tabs>
          <w:tab w:val="left" w:pos="709" w:leader="none"/>
        </w:tabs>
        <w:bidi w:val="0"/>
        <w:ind w:left="709" w:hanging="283"/>
        <w:jc w:val="left"/>
        <w:rPr/>
      </w:pPr>
      <w:r>
        <w:rPr/>
        <w:t xml:space="preserve">Appendix D: Service Level Agreement (SLA) </w:t>
      </w:r>
    </w:p>
    <w:p>
      <w:pPr>
        <w:pStyle w:val="Normal"/>
        <w:bidi w:val="0"/>
        <w:jc w:val="left"/>
        <w:rPr/>
      </w:pPr>
      <w:r>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OpenSymbol">
    <w:altName w:val="Arial Unicode MS"/>
    <w:charset w:val="01"/>
    <w:family w:val="roman"/>
    <w:pitch w:val="variable"/>
  </w:font>
  <w:font w:name="Liberation Sans">
    <w:altName w:val="Arial"/>
    <w:charset w:val="01"/>
    <w:family w:val="roman"/>
    <w:pitch w:val="variable"/>
  </w:font>
  <w:font w:name="Liberation Mono">
    <w:altName w:val="Courier New"/>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FreeSans"/>
        <w:kern w:val="2"/>
        <w:sz w:val="24"/>
        <w:szCs w:val="24"/>
        <w:lang w:val="de-DE"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DejaVu Sans" w:cs="FreeSans"/>
      <w:color w:val="auto"/>
      <w:kern w:val="2"/>
      <w:sz w:val="24"/>
      <w:szCs w:val="24"/>
      <w:lang w:val="de-DE" w:eastAsia="zh-CN" w:bidi="hi-IN"/>
    </w:rPr>
  </w:style>
  <w:style w:type="paragraph" w:styleId="Berschrift1">
    <w:name w:val="Heading 1"/>
    <w:basedOn w:val="Berschrift"/>
    <w:next w:val="Textkrper"/>
    <w:qFormat/>
    <w:pPr>
      <w:spacing w:before="240" w:after="120"/>
      <w:outlineLvl w:val="0"/>
    </w:pPr>
    <w:rPr>
      <w:rFonts w:ascii="Liberation Serif" w:hAnsi="Liberation Serif" w:eastAsia="DejaVu Sans" w:cs="FreeSans"/>
      <w:b/>
      <w:bCs/>
      <w:sz w:val="48"/>
      <w:szCs w:val="48"/>
    </w:rPr>
  </w:style>
  <w:style w:type="paragraph" w:styleId="Berschrift2">
    <w:name w:val="Heading 2"/>
    <w:basedOn w:val="Berschrift"/>
    <w:next w:val="Textkrper"/>
    <w:qFormat/>
    <w:pPr>
      <w:spacing w:before="200" w:after="120"/>
      <w:outlineLvl w:val="1"/>
    </w:pPr>
    <w:rPr>
      <w:rFonts w:ascii="Liberation Serif" w:hAnsi="Liberation Serif" w:eastAsia="DejaVu Sans" w:cs="FreeSans"/>
      <w:b/>
      <w:bCs/>
      <w:sz w:val="36"/>
      <w:szCs w:val="36"/>
    </w:rPr>
  </w:style>
  <w:style w:type="paragraph" w:styleId="Berschrift3">
    <w:name w:val="Heading 3"/>
    <w:basedOn w:val="Berschrift"/>
    <w:next w:val="Textkrper"/>
    <w:qFormat/>
    <w:pPr>
      <w:spacing w:before="140" w:after="120"/>
      <w:outlineLvl w:val="2"/>
    </w:pPr>
    <w:rPr>
      <w:rFonts w:ascii="Liberation Serif" w:hAnsi="Liberation Serif" w:eastAsia="DejaVu Sans" w:cs="FreeSans"/>
      <w:b/>
      <w:bCs/>
      <w:sz w:val="28"/>
      <w:szCs w:val="28"/>
    </w:rPr>
  </w:style>
  <w:style w:type="character" w:styleId="Strong">
    <w:name w:val="Strong"/>
    <w:qFormat/>
    <w:rPr>
      <w:b/>
      <w:bCs/>
    </w:rPr>
  </w:style>
  <w:style w:type="character" w:styleId="Aufzhlungszeichen">
    <w:name w:val="Aufzählungszeichen"/>
    <w:qFormat/>
    <w:rPr>
      <w:rFonts w:ascii="OpenSymbol" w:hAnsi="OpenSymbol" w:eastAsia="OpenSymbol" w:cs="OpenSymbol"/>
    </w:rPr>
  </w:style>
  <w:style w:type="character" w:styleId="Nummerierungszeichen">
    <w:name w:val="Nummerierungszeichen"/>
    <w:qFormat/>
    <w:rPr/>
  </w:style>
  <w:style w:type="character" w:styleId="Internetverknpfung">
    <w:name w:val="Hyperlink"/>
    <w:rPr>
      <w:color w:val="000080"/>
      <w:u w:val="single"/>
    </w:rPr>
  </w:style>
  <w:style w:type="character" w:styleId="Verzeichnissprung">
    <w:name w:val="Verzeichnissprung"/>
    <w:qFormat/>
    <w:rPr/>
  </w:style>
  <w:style w:type="paragraph" w:styleId="Berschrift">
    <w:name w:val="Überschrift"/>
    <w:basedOn w:val="Normal"/>
    <w:next w:val="Textkrper"/>
    <w:qFormat/>
    <w:pPr>
      <w:keepNext w:val="true"/>
      <w:spacing w:before="240" w:after="120"/>
    </w:pPr>
    <w:rPr>
      <w:rFonts w:ascii="Liberation Sans" w:hAnsi="Liberation Sans" w:eastAsia="DejaVu Sans" w:cs="FreeSans"/>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FreeSans"/>
    </w:rPr>
  </w:style>
  <w:style w:type="paragraph" w:styleId="Beschriftung">
    <w:name w:val="Caption"/>
    <w:basedOn w:val="Normal"/>
    <w:qFormat/>
    <w:pPr>
      <w:suppressLineNumbers/>
      <w:spacing w:before="120" w:after="120"/>
    </w:pPr>
    <w:rPr>
      <w:rFonts w:cs="FreeSans"/>
      <w:i/>
      <w:iCs/>
      <w:sz w:val="24"/>
      <w:szCs w:val="24"/>
    </w:rPr>
  </w:style>
  <w:style w:type="paragraph" w:styleId="Verzeichnis">
    <w:name w:val="Verzeichnis"/>
    <w:basedOn w:val="Normal"/>
    <w:qFormat/>
    <w:pPr>
      <w:suppressLineNumbers/>
    </w:pPr>
    <w:rPr>
      <w:rFonts w:cs="FreeSans"/>
    </w:rPr>
  </w:style>
  <w:style w:type="paragraph" w:styleId="Tabelleninhalt">
    <w:name w:val="Tabelleninhalt"/>
    <w:basedOn w:val="Normal"/>
    <w:qFormat/>
    <w:pPr>
      <w:widowControl w:val="false"/>
      <w:suppressLineNumbers/>
    </w:pPr>
    <w:rPr/>
  </w:style>
  <w:style w:type="paragraph" w:styleId="Tabellenberschrift">
    <w:name w:val="Tabellenüberschrift"/>
    <w:basedOn w:val="Tabelleninhalt"/>
    <w:qFormat/>
    <w:pPr>
      <w:suppressLineNumbers/>
      <w:jc w:val="center"/>
    </w:pPr>
    <w:rPr>
      <w:b/>
      <w:bCs/>
    </w:rPr>
  </w:style>
  <w:style w:type="paragraph" w:styleId="HorizontaleLinie">
    <w:name w:val="Horizontale Linie"/>
    <w:basedOn w:val="Normal"/>
    <w:next w:val="Textkrper"/>
    <w:qFormat/>
    <w:pPr>
      <w:suppressLineNumbers/>
      <w:pBdr>
        <w:bottom w:val="double" w:sz="2" w:space="0" w:color="808080"/>
      </w:pBdr>
      <w:spacing w:before="0" w:after="283"/>
    </w:pPr>
    <w:rPr>
      <w:sz w:val="12"/>
      <w:szCs w:val="12"/>
    </w:rPr>
  </w:style>
  <w:style w:type="paragraph" w:styleId="Stichwortverzeichnisberschrift">
    <w:name w:val="Index Heading"/>
    <w:basedOn w:val="Berschrift"/>
    <w:pPr>
      <w:suppressLineNumbers/>
      <w:ind w:left="0" w:hanging="0"/>
    </w:pPr>
    <w:rPr>
      <w:b/>
      <w:bCs/>
      <w:sz w:val="32"/>
      <w:szCs w:val="32"/>
    </w:rPr>
  </w:style>
  <w:style w:type="paragraph" w:styleId="Inhaltsverzeichnisberschrift">
    <w:name w:val="TOC Heading"/>
    <w:basedOn w:val="Stichwortverzeichnisberschrift"/>
    <w:pPr>
      <w:suppressLineNumbers/>
      <w:ind w:left="0" w:hanging="0"/>
    </w:pPr>
    <w:rPr>
      <w:b/>
      <w:bCs/>
      <w:sz w:val="32"/>
      <w:szCs w:val="32"/>
    </w:rPr>
  </w:style>
  <w:style w:type="paragraph" w:styleId="Inhaltsverzeichnis1">
    <w:name w:val="TOC 1"/>
    <w:basedOn w:val="Verzeichnis"/>
    <w:pPr>
      <w:tabs>
        <w:tab w:val="clear" w:pos="709"/>
        <w:tab w:val="right" w:pos="9638" w:leader="dot"/>
      </w:tabs>
      <w:ind w:left="0" w:hanging="0"/>
    </w:pPr>
    <w:rPr/>
  </w:style>
  <w:style w:type="paragraph" w:styleId="Inhaltsverzeichnis2">
    <w:name w:val="TOC 2"/>
    <w:basedOn w:val="Verzeichnis"/>
    <w:pPr>
      <w:tabs>
        <w:tab w:val="clear" w:pos="709"/>
        <w:tab w:val="right" w:pos="9638" w:leader="dot"/>
      </w:tabs>
      <w:ind w:left="283" w:hanging="0"/>
    </w:pPr>
    <w:rPr/>
  </w:style>
  <w:style w:type="paragraph" w:styleId="Inhaltsverzeichnis3">
    <w:name w:val="TOC 3"/>
    <w:basedOn w:val="Verzeichnis"/>
    <w:pPr>
      <w:tabs>
        <w:tab w:val="clear" w:pos="709"/>
        <w:tab w:val="right" w:pos="9638" w:leader="dot"/>
      </w:tabs>
      <w:ind w:left="567" w:hanging="0"/>
    </w:pPr>
    <w:rPr/>
  </w:style>
  <w:style w:type="paragraph" w:styleId="VorformatierterText">
    <w:name w:val="Vorformatierter Text"/>
    <w:basedOn w:val="Normal"/>
    <w:qFormat/>
    <w:pPr>
      <w:spacing w:before="0" w:after="0"/>
    </w:pPr>
    <w:rPr>
      <w:rFonts w:ascii="Liberation Mono" w:hAnsi="Liberation Mono" w:eastAsia="Liberation Mono"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68</TotalTime>
  <Application>LibreOffice/7.4.7.2$Linux_X86_64 LibreOffice_project/40$Build-2</Application>
  <AppVersion>15.0000</AppVersion>
  <Pages>7</Pages>
  <Words>1065</Words>
  <Characters>6191</Characters>
  <CharactersWithSpaces>7053</CharactersWithSpaces>
  <Paragraphs>205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2025-10-10T13:29:10Z</dcterms:created>
  <dc:creator/>
  <dc:description/>
  <dc:language>de-DE</dc:language>
  <cp:lastModifiedBy/>
  <dcterms:modified xsi:type="dcterms:W3CDTF">2025-10-10T16:54:31Z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